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65" w:type="dxa"/>
        <w:tblLook w:val="04A0" w:firstRow="1" w:lastRow="0" w:firstColumn="1" w:lastColumn="0" w:noHBand="0" w:noVBand="1"/>
      </w:tblPr>
      <w:tblGrid>
        <w:gridCol w:w="4962"/>
        <w:gridCol w:w="5103"/>
      </w:tblGrid>
      <w:tr w:rsidR="00AB0F93" w:rsidRPr="00296E53" w14:paraId="5A00B029" w14:textId="77777777" w:rsidTr="00AB0F93">
        <w:tc>
          <w:tcPr>
            <w:tcW w:w="4962" w:type="dxa"/>
            <w:vAlign w:val="center"/>
          </w:tcPr>
          <w:p w14:paraId="2CDA8DEA" w14:textId="77777777" w:rsidR="00AB0F93" w:rsidRPr="00D10FAA" w:rsidRDefault="00AB0F93" w:rsidP="009F3663">
            <w:pPr>
              <w:spacing w:after="120"/>
              <w:jc w:val="center"/>
              <w:rPr>
                <w:rFonts w:ascii="Century Gothic" w:hAnsi="Century Gothic"/>
              </w:rPr>
            </w:pPr>
          </w:p>
        </w:tc>
        <w:tc>
          <w:tcPr>
            <w:tcW w:w="5103" w:type="dxa"/>
            <w:vAlign w:val="center"/>
          </w:tcPr>
          <w:p w14:paraId="57830FC4" w14:textId="77777777" w:rsidR="00AB0F93" w:rsidRPr="00296E53" w:rsidRDefault="00AB0F93" w:rsidP="009F3663">
            <w:pPr>
              <w:spacing w:after="120"/>
              <w:jc w:val="right"/>
              <w:rPr>
                <w:rFonts w:ascii="Century Gothic" w:hAnsi="Century Gothic"/>
              </w:rPr>
            </w:pPr>
            <w:r w:rsidRPr="00296E53">
              <w:rPr>
                <w:rFonts w:ascii="Century Gothic" w:hAnsi="Century Gothic"/>
                <w:noProof/>
                <w:lang w:eastAsia="es-MX"/>
              </w:rPr>
              <w:drawing>
                <wp:inline distT="0" distB="0" distL="0" distR="0" wp14:anchorId="0F9A2695" wp14:editId="27C6DB9A">
                  <wp:extent cx="2349623" cy="470732"/>
                  <wp:effectExtent l="0" t="0" r="0" b="5715"/>
                  <wp:docPr id="97" name="Imagen 97" descr="C:\Users\nuria.torroja\AppData\Local\Temp\Temp1_INEGI_a.zip\INEGI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ia.torroja\AppData\Local\Temp\Temp1_INEGI_a.zip\INEGI_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6975" cy="474208"/>
                          </a:xfrm>
                          <a:prstGeom prst="rect">
                            <a:avLst/>
                          </a:prstGeom>
                          <a:noFill/>
                          <a:ln>
                            <a:noFill/>
                          </a:ln>
                        </pic:spPr>
                      </pic:pic>
                    </a:graphicData>
                  </a:graphic>
                </wp:inline>
              </w:drawing>
            </w:r>
          </w:p>
        </w:tc>
      </w:tr>
    </w:tbl>
    <w:p w14:paraId="67730C8E" w14:textId="77777777" w:rsidR="00A06F08" w:rsidRPr="00296E53" w:rsidRDefault="00A06F08" w:rsidP="009F3663">
      <w:pPr>
        <w:spacing w:after="120"/>
        <w:rPr>
          <w:rFonts w:ascii="Century Gothic" w:hAnsi="Century Gothic"/>
        </w:rPr>
      </w:pPr>
    </w:p>
    <w:tbl>
      <w:tblPr>
        <w:tblW w:w="12763" w:type="dxa"/>
        <w:tblInd w:w="-1139" w:type="dxa"/>
        <w:tblLook w:val="04A0" w:firstRow="1" w:lastRow="0" w:firstColumn="1" w:lastColumn="0" w:noHBand="0" w:noVBand="1"/>
      </w:tblPr>
      <w:tblGrid>
        <w:gridCol w:w="4967"/>
        <w:gridCol w:w="7796"/>
      </w:tblGrid>
      <w:tr w:rsidR="0022505B" w:rsidRPr="00296E53" w14:paraId="5B8775F9" w14:textId="77777777" w:rsidTr="003C6502">
        <w:trPr>
          <w:trHeight w:val="53"/>
        </w:trPr>
        <w:tc>
          <w:tcPr>
            <w:tcW w:w="4967" w:type="dxa"/>
            <w:shd w:val="clear" w:color="auto" w:fill="1F3864" w:themeFill="accent5" w:themeFillShade="80"/>
          </w:tcPr>
          <w:p w14:paraId="43B5807F" w14:textId="77777777" w:rsidR="0022505B" w:rsidRPr="00296E53" w:rsidRDefault="0022505B" w:rsidP="0022505B">
            <w:pPr>
              <w:rPr>
                <w:rFonts w:cstheme="minorHAnsi"/>
                <w:color w:val="FFFFFF" w:themeColor="background1"/>
                <w:sz w:val="2"/>
                <w:szCs w:val="18"/>
              </w:rPr>
            </w:pPr>
          </w:p>
        </w:tc>
        <w:tc>
          <w:tcPr>
            <w:tcW w:w="7796" w:type="dxa"/>
            <w:shd w:val="clear" w:color="auto" w:fill="FFFFFF" w:themeFill="background1"/>
          </w:tcPr>
          <w:p w14:paraId="250F6AF8" w14:textId="77777777" w:rsidR="0022505B" w:rsidRPr="00296E53" w:rsidRDefault="0022505B" w:rsidP="0022505B">
            <w:pPr>
              <w:rPr>
                <w:rFonts w:cstheme="minorHAnsi"/>
                <w:color w:val="FFFFFF" w:themeColor="background1"/>
                <w:sz w:val="2"/>
                <w:szCs w:val="18"/>
              </w:rPr>
            </w:pPr>
          </w:p>
        </w:tc>
      </w:tr>
      <w:tr w:rsidR="00D711B9" w:rsidRPr="00296E53" w14:paraId="59F3D614" w14:textId="77777777" w:rsidTr="003C6502">
        <w:trPr>
          <w:trHeight w:val="201"/>
        </w:trPr>
        <w:tc>
          <w:tcPr>
            <w:tcW w:w="4967" w:type="dxa"/>
            <w:shd w:val="clear" w:color="auto" w:fill="0079BF"/>
          </w:tcPr>
          <w:p w14:paraId="76C5AF0A" w14:textId="77777777" w:rsidR="00D711B9" w:rsidRPr="00296E53" w:rsidRDefault="00D711B9" w:rsidP="0022505B">
            <w:pPr>
              <w:rPr>
                <w:rFonts w:cstheme="minorHAnsi"/>
                <w:color w:val="FFFFFF" w:themeColor="background1"/>
                <w:sz w:val="2"/>
                <w:szCs w:val="12"/>
              </w:rPr>
            </w:pPr>
          </w:p>
        </w:tc>
        <w:tc>
          <w:tcPr>
            <w:tcW w:w="7796" w:type="dxa"/>
            <w:shd w:val="clear" w:color="auto" w:fill="0079BF"/>
          </w:tcPr>
          <w:p w14:paraId="18D90DD1" w14:textId="77777777" w:rsidR="00D711B9" w:rsidRPr="00296E53" w:rsidRDefault="00D711B9" w:rsidP="0022505B">
            <w:pPr>
              <w:rPr>
                <w:rFonts w:cstheme="minorHAnsi"/>
                <w:color w:val="FFFFFF" w:themeColor="background1"/>
                <w:sz w:val="2"/>
                <w:szCs w:val="12"/>
              </w:rPr>
            </w:pPr>
          </w:p>
        </w:tc>
      </w:tr>
    </w:tbl>
    <w:p w14:paraId="7A689E38" w14:textId="77777777" w:rsidR="00AB0F93" w:rsidRPr="00296E53" w:rsidRDefault="00AB0F93" w:rsidP="009F3663">
      <w:pPr>
        <w:spacing w:after="120"/>
        <w:rPr>
          <w:rFonts w:ascii="Century Gothic" w:hAnsi="Century Gothic"/>
        </w:rPr>
      </w:pPr>
    </w:p>
    <w:p w14:paraId="1A8ACC32" w14:textId="77777777" w:rsidR="00AB0F93" w:rsidRPr="00296E53" w:rsidRDefault="00AB0F93" w:rsidP="009F3663">
      <w:pPr>
        <w:spacing w:after="120"/>
        <w:rPr>
          <w:rFonts w:ascii="Century Gothic" w:hAnsi="Century Gothic"/>
        </w:rPr>
      </w:pPr>
    </w:p>
    <w:p w14:paraId="59C86BC2" w14:textId="77777777" w:rsidR="00672104" w:rsidRPr="00296E53" w:rsidRDefault="00672104" w:rsidP="009F3663">
      <w:pPr>
        <w:spacing w:after="120"/>
        <w:rPr>
          <w:rFonts w:ascii="Century Gothic" w:hAnsi="Century Gothic"/>
        </w:rPr>
      </w:pPr>
    </w:p>
    <w:p w14:paraId="78DAEA42" w14:textId="77777777" w:rsidR="00672104" w:rsidRPr="00296E53" w:rsidRDefault="005B131D" w:rsidP="009F3663">
      <w:pPr>
        <w:pStyle w:val="Default"/>
        <w:spacing w:after="120"/>
        <w:jc w:val="center"/>
        <w:rPr>
          <w:rFonts w:ascii="Century Gothic" w:hAnsi="Century Gothic"/>
          <w:b/>
          <w:bCs/>
          <w:smallCaps/>
          <w:color w:val="A6A6A6" w:themeColor="background1" w:themeShade="A6"/>
          <w:sz w:val="64"/>
          <w:szCs w:val="64"/>
          <w:lang w:val="es-MX"/>
          <w14:shadow w14:blurRad="63500" w14:dist="50800" w14:dir="2700000" w14:sx="0" w14:sy="0" w14:kx="0" w14:ky="0" w14:algn="none">
            <w14:srgbClr w14:val="000000">
              <w14:alpha w14:val="50000"/>
            </w14:srgbClr>
          </w14:shadow>
        </w:rPr>
      </w:pPr>
      <w:r w:rsidRPr="00296E53">
        <w:rPr>
          <w:rFonts w:ascii="Century Gothic" w:hAnsi="Century Gothic"/>
          <w:b/>
          <w:bCs/>
          <w:smallCaps/>
          <w:color w:val="A6A6A6" w:themeColor="background1" w:themeShade="A6"/>
          <w:sz w:val="64"/>
          <w:szCs w:val="64"/>
          <w:lang w:val="es-MX"/>
          <w14:shadow w14:blurRad="63500" w14:dist="50800" w14:dir="2700000" w14:sx="0" w14:sy="0" w14:kx="0" w14:ky="0" w14:algn="none">
            <w14:srgbClr w14:val="000000">
              <w14:alpha w14:val="50000"/>
            </w14:srgbClr>
          </w14:shadow>
        </w:rPr>
        <w:t>INFORME DE RESULTADOS 20</w:t>
      </w:r>
      <w:r w:rsidR="00716715" w:rsidRPr="00296E53">
        <w:rPr>
          <w:rFonts w:ascii="Century Gothic" w:hAnsi="Century Gothic"/>
          <w:b/>
          <w:bCs/>
          <w:smallCaps/>
          <w:color w:val="A6A6A6" w:themeColor="background1" w:themeShade="A6"/>
          <w:sz w:val="64"/>
          <w:szCs w:val="64"/>
          <w:lang w:val="es-MX"/>
          <w14:shadow w14:blurRad="63500" w14:dist="50800" w14:dir="2700000" w14:sx="0" w14:sy="0" w14:kx="0" w14:ky="0" w14:algn="none">
            <w14:srgbClr w14:val="000000">
              <w14:alpha w14:val="50000"/>
            </w14:srgbClr>
          </w14:shadow>
        </w:rPr>
        <w:t>20</w:t>
      </w:r>
    </w:p>
    <w:p w14:paraId="0159DEB1" w14:textId="77777777" w:rsidR="00F2382C" w:rsidRPr="00296E53" w:rsidRDefault="00F2382C" w:rsidP="009F3663">
      <w:pPr>
        <w:spacing w:after="120"/>
        <w:rPr>
          <w:rFonts w:ascii="Century Gothic" w:hAnsi="Century Gothic"/>
        </w:rPr>
      </w:pPr>
    </w:p>
    <w:p w14:paraId="6FC0D163" w14:textId="77777777" w:rsidR="00256978" w:rsidRPr="00296E53" w:rsidRDefault="00256978" w:rsidP="009F3663">
      <w:pPr>
        <w:spacing w:after="120"/>
        <w:rPr>
          <w:rFonts w:ascii="Century Gothic" w:hAnsi="Century Gothic"/>
        </w:rPr>
      </w:pPr>
    </w:p>
    <w:p w14:paraId="532DBFCC" w14:textId="77777777" w:rsidR="00256978" w:rsidRPr="00296E53" w:rsidRDefault="00256978" w:rsidP="009F3663">
      <w:pPr>
        <w:spacing w:after="120"/>
        <w:rPr>
          <w:rFonts w:ascii="Century Gothic" w:hAnsi="Century Gothic"/>
        </w:rPr>
      </w:pPr>
    </w:p>
    <w:p w14:paraId="1D23CBA7" w14:textId="77777777" w:rsidR="001D4A76" w:rsidRPr="00296E53" w:rsidRDefault="001D4A76" w:rsidP="009F3663">
      <w:pPr>
        <w:spacing w:after="120"/>
        <w:rPr>
          <w:rFonts w:ascii="Century Gothic" w:hAnsi="Century Gothic"/>
        </w:rPr>
      </w:pPr>
    </w:p>
    <w:p w14:paraId="014897A5" w14:textId="77777777" w:rsidR="001D4A76" w:rsidRPr="00296E53" w:rsidRDefault="001D4A76" w:rsidP="009F3663">
      <w:pPr>
        <w:spacing w:after="120"/>
        <w:rPr>
          <w:rFonts w:ascii="Century Gothic" w:hAnsi="Century Gothic"/>
        </w:rPr>
      </w:pPr>
    </w:p>
    <w:p w14:paraId="58EE3D7A" w14:textId="77777777" w:rsidR="001D4A76" w:rsidRPr="00296E53" w:rsidRDefault="001D4A76" w:rsidP="009F3663">
      <w:pPr>
        <w:spacing w:after="120"/>
        <w:rPr>
          <w:rFonts w:ascii="Century Gothic" w:hAnsi="Century Gothic"/>
        </w:rPr>
      </w:pPr>
    </w:p>
    <w:p w14:paraId="46B9556D" w14:textId="77777777" w:rsidR="00A06F08" w:rsidRPr="00296E53" w:rsidRDefault="001D4A76" w:rsidP="00AB0F93">
      <w:pPr>
        <w:spacing w:after="120"/>
        <w:jc w:val="center"/>
        <w:rPr>
          <w:rFonts w:ascii="Century Gothic" w:hAnsi="Century Gothic"/>
        </w:rPr>
      </w:pPr>
      <w:r w:rsidRPr="00296E53">
        <w:rPr>
          <w:rFonts w:ascii="Century Gothic" w:hAnsi="Century Gothic"/>
          <w:noProof/>
          <w:lang w:eastAsia="es-MX"/>
        </w:rPr>
        <w:drawing>
          <wp:inline distT="0" distB="0" distL="0" distR="0" wp14:anchorId="12E362A3" wp14:editId="384BC9D4">
            <wp:extent cx="3824452" cy="1292400"/>
            <wp:effectExtent l="0" t="0" r="5080" b="317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50224" cy="1301109"/>
                    </a:xfrm>
                    <a:prstGeom prst="rect">
                      <a:avLst/>
                    </a:prstGeom>
                  </pic:spPr>
                </pic:pic>
              </a:graphicData>
            </a:graphic>
          </wp:inline>
        </w:drawing>
      </w:r>
    </w:p>
    <w:p w14:paraId="4F0F0F50" w14:textId="77777777" w:rsidR="00A06F08" w:rsidRPr="00296E53" w:rsidRDefault="00A06F08" w:rsidP="009F3663">
      <w:pPr>
        <w:spacing w:after="120"/>
        <w:rPr>
          <w:rFonts w:ascii="Century Gothic" w:hAnsi="Century Gothic"/>
        </w:rPr>
      </w:pPr>
    </w:p>
    <w:p w14:paraId="0FCB4C4D" w14:textId="77777777" w:rsidR="00AB0F93" w:rsidRPr="00296E53" w:rsidRDefault="00AB0F93" w:rsidP="009F3663">
      <w:pPr>
        <w:spacing w:after="120"/>
        <w:rPr>
          <w:rFonts w:ascii="Century Gothic" w:hAnsi="Century Gothic"/>
        </w:rPr>
      </w:pPr>
    </w:p>
    <w:p w14:paraId="053AF075" w14:textId="77777777" w:rsidR="00091523" w:rsidRPr="00296E53" w:rsidRDefault="00091523" w:rsidP="009F3663">
      <w:pPr>
        <w:spacing w:after="120"/>
        <w:rPr>
          <w:rFonts w:ascii="Century Gothic" w:hAnsi="Century Gothic"/>
        </w:rPr>
      </w:pPr>
    </w:p>
    <w:p w14:paraId="41275ABF" w14:textId="77777777" w:rsidR="00BE417D" w:rsidRPr="00296E53" w:rsidRDefault="00BE417D" w:rsidP="009F3663">
      <w:pPr>
        <w:spacing w:after="120"/>
        <w:rPr>
          <w:rFonts w:ascii="Century Gothic" w:hAnsi="Century Gothic"/>
        </w:rPr>
      </w:pPr>
    </w:p>
    <w:p w14:paraId="1DD12B9A" w14:textId="77777777" w:rsidR="0022505B" w:rsidRPr="00296E53" w:rsidRDefault="0022505B" w:rsidP="009F3663">
      <w:pPr>
        <w:spacing w:after="120"/>
        <w:rPr>
          <w:rFonts w:ascii="Century Gothic" w:hAnsi="Century Gothic"/>
        </w:rPr>
      </w:pPr>
    </w:p>
    <w:p w14:paraId="7C828118" w14:textId="77777777" w:rsidR="00A06F08" w:rsidRPr="00296E53" w:rsidRDefault="007C44EE" w:rsidP="009F3663">
      <w:pPr>
        <w:spacing w:after="120"/>
        <w:jc w:val="right"/>
        <w:rPr>
          <w:rFonts w:ascii="Century Gothic" w:hAnsi="Century Gothic"/>
          <w:sz w:val="28"/>
        </w:rPr>
      </w:pPr>
      <w:r w:rsidRPr="00296E53">
        <w:rPr>
          <w:rFonts w:ascii="Century Gothic" w:hAnsi="Century Gothic"/>
          <w:sz w:val="28"/>
        </w:rPr>
        <w:t>Febrero</w:t>
      </w:r>
      <w:r w:rsidR="001D4A76" w:rsidRPr="00296E53">
        <w:rPr>
          <w:rFonts w:ascii="Century Gothic" w:hAnsi="Century Gothic"/>
          <w:sz w:val="28"/>
        </w:rPr>
        <w:t xml:space="preserve"> </w:t>
      </w:r>
      <w:r w:rsidR="005B131D" w:rsidRPr="00296E53">
        <w:rPr>
          <w:rFonts w:ascii="Century Gothic" w:hAnsi="Century Gothic"/>
          <w:sz w:val="28"/>
        </w:rPr>
        <w:t>20</w:t>
      </w:r>
      <w:r w:rsidR="001D4A76" w:rsidRPr="00296E53">
        <w:rPr>
          <w:rFonts w:ascii="Century Gothic" w:hAnsi="Century Gothic"/>
          <w:sz w:val="28"/>
        </w:rPr>
        <w:t>2</w:t>
      </w:r>
      <w:r w:rsidR="00716715" w:rsidRPr="00296E53">
        <w:rPr>
          <w:rFonts w:ascii="Century Gothic" w:hAnsi="Century Gothic"/>
          <w:sz w:val="28"/>
        </w:rPr>
        <w:t>1</w:t>
      </w:r>
    </w:p>
    <w:p w14:paraId="359F60DE" w14:textId="77777777" w:rsidR="0022505B" w:rsidRPr="00296E53" w:rsidRDefault="0022505B" w:rsidP="0022505B">
      <w:pPr>
        <w:spacing w:after="120"/>
        <w:rPr>
          <w:rFonts w:ascii="Century Gothic" w:hAnsi="Century Gothic"/>
        </w:rPr>
      </w:pPr>
    </w:p>
    <w:p w14:paraId="3E53F4E6" w14:textId="77777777" w:rsidR="00C801C8" w:rsidRPr="00296E53" w:rsidRDefault="00C801C8" w:rsidP="0022505B">
      <w:pPr>
        <w:spacing w:after="120"/>
        <w:rPr>
          <w:rFonts w:ascii="Century Gothic" w:hAnsi="Century Gothic"/>
        </w:rPr>
      </w:pPr>
    </w:p>
    <w:p w14:paraId="35E6E3A3" w14:textId="77777777" w:rsidR="00C801C8" w:rsidRPr="00296E53" w:rsidRDefault="00C801C8" w:rsidP="0022505B">
      <w:pPr>
        <w:spacing w:after="120"/>
        <w:rPr>
          <w:rFonts w:ascii="Century Gothic" w:hAnsi="Century Gothic"/>
        </w:rPr>
      </w:pPr>
    </w:p>
    <w:tbl>
      <w:tblPr>
        <w:tblW w:w="12763" w:type="dxa"/>
        <w:tblInd w:w="-1139" w:type="dxa"/>
        <w:tblLook w:val="04A0" w:firstRow="1" w:lastRow="0" w:firstColumn="1" w:lastColumn="0" w:noHBand="0" w:noVBand="1"/>
      </w:tblPr>
      <w:tblGrid>
        <w:gridCol w:w="8085"/>
        <w:gridCol w:w="4678"/>
      </w:tblGrid>
      <w:tr w:rsidR="00C801C8" w:rsidRPr="00296E53" w14:paraId="43FFAE84" w14:textId="77777777" w:rsidTr="00C801C8">
        <w:trPr>
          <w:trHeight w:val="201"/>
        </w:trPr>
        <w:tc>
          <w:tcPr>
            <w:tcW w:w="8085" w:type="dxa"/>
            <w:shd w:val="clear" w:color="auto" w:fill="auto"/>
          </w:tcPr>
          <w:p w14:paraId="75B7B403" w14:textId="77777777" w:rsidR="00C801C8" w:rsidRPr="00296E53" w:rsidRDefault="00C801C8" w:rsidP="00546277">
            <w:pPr>
              <w:rPr>
                <w:rFonts w:cstheme="minorHAnsi"/>
                <w:color w:val="FFFFFF" w:themeColor="background1"/>
                <w:sz w:val="2"/>
                <w:szCs w:val="12"/>
              </w:rPr>
            </w:pPr>
          </w:p>
        </w:tc>
        <w:tc>
          <w:tcPr>
            <w:tcW w:w="4678" w:type="dxa"/>
            <w:shd w:val="clear" w:color="auto" w:fill="0079BF"/>
          </w:tcPr>
          <w:p w14:paraId="2381C217" w14:textId="77777777" w:rsidR="00C801C8" w:rsidRPr="00296E53" w:rsidRDefault="00C801C8" w:rsidP="00546277">
            <w:pPr>
              <w:rPr>
                <w:rFonts w:cstheme="minorHAnsi"/>
                <w:color w:val="FFFFFF" w:themeColor="background1"/>
                <w:sz w:val="2"/>
                <w:szCs w:val="12"/>
              </w:rPr>
            </w:pPr>
          </w:p>
        </w:tc>
      </w:tr>
      <w:tr w:rsidR="00C801C8" w:rsidRPr="00296E53" w14:paraId="1E062A81" w14:textId="77777777" w:rsidTr="00546277">
        <w:trPr>
          <w:trHeight w:val="201"/>
        </w:trPr>
        <w:tc>
          <w:tcPr>
            <w:tcW w:w="8085" w:type="dxa"/>
            <w:shd w:val="clear" w:color="auto" w:fill="1F3864" w:themeFill="accent5" w:themeFillShade="80"/>
          </w:tcPr>
          <w:p w14:paraId="42D6E6B4" w14:textId="77777777" w:rsidR="00C801C8" w:rsidRPr="00296E53" w:rsidRDefault="00C801C8" w:rsidP="00546277">
            <w:pPr>
              <w:rPr>
                <w:rFonts w:cstheme="minorHAnsi"/>
                <w:color w:val="FFFFFF" w:themeColor="background1"/>
                <w:sz w:val="2"/>
                <w:szCs w:val="12"/>
              </w:rPr>
            </w:pPr>
          </w:p>
        </w:tc>
        <w:tc>
          <w:tcPr>
            <w:tcW w:w="4678" w:type="dxa"/>
            <w:shd w:val="clear" w:color="auto" w:fill="1F3864" w:themeFill="accent5" w:themeFillShade="80"/>
          </w:tcPr>
          <w:p w14:paraId="495D5EAF" w14:textId="77777777" w:rsidR="00C801C8" w:rsidRPr="00296E53" w:rsidRDefault="00C801C8" w:rsidP="00546277">
            <w:pPr>
              <w:rPr>
                <w:rFonts w:cstheme="minorHAnsi"/>
                <w:color w:val="FFFFFF" w:themeColor="background1"/>
                <w:sz w:val="2"/>
                <w:szCs w:val="12"/>
              </w:rPr>
            </w:pPr>
          </w:p>
        </w:tc>
      </w:tr>
      <w:tr w:rsidR="00C801C8" w:rsidRPr="00296E53" w14:paraId="0332D279" w14:textId="77777777" w:rsidTr="00C801C8">
        <w:trPr>
          <w:trHeight w:val="201"/>
        </w:trPr>
        <w:tc>
          <w:tcPr>
            <w:tcW w:w="8085" w:type="dxa"/>
            <w:shd w:val="clear" w:color="auto" w:fill="auto"/>
          </w:tcPr>
          <w:p w14:paraId="6D9962EA" w14:textId="77777777" w:rsidR="00C801C8" w:rsidRPr="00296E53" w:rsidRDefault="00C801C8" w:rsidP="00546277">
            <w:pPr>
              <w:rPr>
                <w:rFonts w:cstheme="minorHAnsi"/>
                <w:color w:val="FFFFFF" w:themeColor="background1"/>
                <w:sz w:val="2"/>
                <w:szCs w:val="12"/>
              </w:rPr>
            </w:pPr>
          </w:p>
        </w:tc>
        <w:tc>
          <w:tcPr>
            <w:tcW w:w="4678" w:type="dxa"/>
            <w:shd w:val="clear" w:color="auto" w:fill="auto"/>
          </w:tcPr>
          <w:p w14:paraId="307492DC" w14:textId="77777777" w:rsidR="00C801C8" w:rsidRPr="00296E53" w:rsidRDefault="00C801C8" w:rsidP="00546277">
            <w:pPr>
              <w:rPr>
                <w:rFonts w:cstheme="minorHAnsi"/>
                <w:color w:val="FFFFFF" w:themeColor="background1"/>
                <w:sz w:val="2"/>
                <w:szCs w:val="12"/>
              </w:rPr>
            </w:pPr>
          </w:p>
        </w:tc>
      </w:tr>
    </w:tbl>
    <w:p w14:paraId="4FC1298C" w14:textId="77777777" w:rsidR="003C6502" w:rsidRPr="00296E53" w:rsidRDefault="003C6502" w:rsidP="0022505B">
      <w:pPr>
        <w:spacing w:after="120"/>
        <w:rPr>
          <w:rFonts w:ascii="Century Gothic" w:hAnsi="Century Gothic"/>
        </w:rPr>
      </w:pPr>
    </w:p>
    <w:p w14:paraId="4063C58A" w14:textId="77777777" w:rsidR="00915543" w:rsidRPr="00296E53" w:rsidRDefault="00915543">
      <w:pPr>
        <w:rPr>
          <w:rFonts w:ascii="Century Gothic" w:hAnsi="Century Gothic"/>
        </w:rPr>
      </w:pPr>
      <w:r w:rsidRPr="00296E53">
        <w:rPr>
          <w:rFonts w:ascii="Century Gothic" w:hAnsi="Century Gothic"/>
        </w:rPr>
        <w:br w:type="page"/>
      </w:r>
    </w:p>
    <w:p w14:paraId="4E9E1C45" w14:textId="77777777" w:rsidR="00915543" w:rsidRPr="00296E53" w:rsidRDefault="00915543">
      <w:pPr>
        <w:rPr>
          <w:rFonts w:ascii="Century Gothic" w:hAnsi="Century Gothic"/>
        </w:rPr>
      </w:pPr>
    </w:p>
    <w:p w14:paraId="22AF5471" w14:textId="77777777" w:rsidR="00C41741" w:rsidRPr="00296E53" w:rsidRDefault="00C41741">
      <w:pPr>
        <w:rPr>
          <w:rFonts w:ascii="Century Gothic" w:hAnsi="Century Gothic"/>
        </w:rPr>
      </w:pPr>
    </w:p>
    <w:sdt>
      <w:sdtPr>
        <w:rPr>
          <w:rFonts w:asciiTheme="minorHAnsi" w:eastAsiaTheme="minorHAnsi" w:hAnsiTheme="minorHAnsi" w:cstheme="minorBidi"/>
          <w:color w:val="auto"/>
          <w:sz w:val="22"/>
          <w:szCs w:val="22"/>
          <w:lang w:val="es-ES"/>
        </w:rPr>
        <w:id w:val="-1888172899"/>
        <w:docPartObj>
          <w:docPartGallery w:val="Table of Contents"/>
          <w:docPartUnique/>
        </w:docPartObj>
      </w:sdtPr>
      <w:sdtEndPr>
        <w:rPr>
          <w:b/>
          <w:bCs/>
        </w:rPr>
      </w:sdtEndPr>
      <w:sdtContent>
        <w:p w14:paraId="3B473091" w14:textId="77777777" w:rsidR="00252CA7" w:rsidRPr="00296E53" w:rsidRDefault="005367D4">
          <w:pPr>
            <w:pStyle w:val="TtuloTDC"/>
            <w:rPr>
              <w:rFonts w:ascii="Century Gothic" w:hAnsi="Century Gothic"/>
              <w:color w:val="auto"/>
              <w:sz w:val="24"/>
              <w:lang w:val="es-ES"/>
            </w:rPr>
          </w:pPr>
          <w:r w:rsidRPr="00296E53">
            <w:rPr>
              <w:rFonts w:ascii="Century Gothic" w:hAnsi="Century Gothic"/>
              <w:color w:val="auto"/>
              <w:sz w:val="28"/>
              <w:lang w:val="es-ES"/>
            </w:rPr>
            <w:t>Contenido</w:t>
          </w:r>
        </w:p>
        <w:p w14:paraId="351F0963" w14:textId="77777777" w:rsidR="00E045D6" w:rsidRPr="00296E53" w:rsidRDefault="00E045D6" w:rsidP="00E045D6">
          <w:pPr>
            <w:rPr>
              <w:lang w:val="es-ES"/>
            </w:rPr>
          </w:pPr>
        </w:p>
        <w:p w14:paraId="0DE4E9B0" w14:textId="16AD3925" w:rsidR="004231BB" w:rsidRPr="000A4B13" w:rsidRDefault="00252CA7"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r w:rsidRPr="00296E53">
            <w:rPr>
              <w:rFonts w:cstheme="minorHAnsi"/>
              <w:b/>
              <w:sz w:val="20"/>
              <w:szCs w:val="20"/>
            </w:rPr>
            <w:fldChar w:fldCharType="begin"/>
          </w:r>
          <w:r w:rsidRPr="00296E53">
            <w:rPr>
              <w:rFonts w:cstheme="minorHAnsi"/>
              <w:b/>
              <w:sz w:val="20"/>
              <w:szCs w:val="20"/>
            </w:rPr>
            <w:instrText xml:space="preserve"> TOC \o "1-3" \h \z \u </w:instrText>
          </w:r>
          <w:r w:rsidRPr="00296E53">
            <w:rPr>
              <w:rFonts w:cstheme="minorHAnsi"/>
              <w:b/>
              <w:sz w:val="20"/>
              <w:szCs w:val="20"/>
            </w:rPr>
            <w:fldChar w:fldCharType="separate"/>
          </w:r>
          <w:hyperlink w:anchor="_Toc65502218" w:history="1">
            <w:r w:rsidR="004231BB" w:rsidRPr="000A4B13">
              <w:rPr>
                <w:rStyle w:val="Hipervnculo"/>
                <w:rFonts w:ascii="Century Gothic" w:eastAsia="Arial" w:hAnsi="Century Gothic" w:cstheme="minorHAnsi"/>
                <w:b/>
                <w:bCs/>
                <w:noProof/>
                <w:sz w:val="20"/>
                <w:szCs w:val="20"/>
              </w:rPr>
              <w:t>INTRODUCCIÓN</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_Toc65502218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3</w:t>
            </w:r>
            <w:r w:rsidR="004231BB" w:rsidRPr="000A4B13">
              <w:rPr>
                <w:rStyle w:val="Hipervnculo"/>
                <w:rFonts w:ascii="Century Gothic" w:eastAsia="Arial" w:hAnsi="Century Gothic" w:cstheme="minorHAnsi"/>
                <w:b/>
                <w:bCs/>
                <w:webHidden/>
                <w:sz w:val="20"/>
                <w:szCs w:val="20"/>
              </w:rPr>
              <w:fldChar w:fldCharType="end"/>
            </w:r>
          </w:hyperlink>
        </w:p>
        <w:p w14:paraId="21E5C035" w14:textId="22AF95DA"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19" w:history="1">
            <w:r w:rsidR="004231BB" w:rsidRPr="000A4B13">
              <w:rPr>
                <w:rStyle w:val="Hipervnculo"/>
                <w:rFonts w:ascii="Century Gothic" w:eastAsia="Arial" w:hAnsi="Century Gothic" w:cstheme="minorHAnsi"/>
                <w:b/>
                <w:bCs/>
                <w:noProof/>
                <w:sz w:val="20"/>
                <w:szCs w:val="20"/>
              </w:rPr>
              <w:t>CONTEXTO COVID -19</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_Toc65502219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4</w:t>
            </w:r>
            <w:r w:rsidR="004231BB" w:rsidRPr="000A4B13">
              <w:rPr>
                <w:rStyle w:val="Hipervnculo"/>
                <w:rFonts w:ascii="Century Gothic" w:eastAsia="Arial" w:hAnsi="Century Gothic" w:cstheme="minorHAnsi"/>
                <w:b/>
                <w:bCs/>
                <w:webHidden/>
                <w:sz w:val="20"/>
                <w:szCs w:val="20"/>
              </w:rPr>
              <w:fldChar w:fldCharType="end"/>
            </w:r>
          </w:hyperlink>
        </w:p>
        <w:p w14:paraId="060B7EBC" w14:textId="714B18FD"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0" w:history="1">
            <w:r w:rsidR="004231BB" w:rsidRPr="000A4B13">
              <w:rPr>
                <w:rStyle w:val="Hipervnculo"/>
                <w:rFonts w:ascii="Century Gothic" w:eastAsia="Arial" w:hAnsi="Century Gothic" w:cstheme="minorHAnsi"/>
                <w:b/>
                <w:bCs/>
                <w:noProof/>
                <w:sz w:val="20"/>
                <w:szCs w:val="20"/>
              </w:rPr>
              <w:t>ACTUALIZACIÓN NORMATIVA</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_Toc65502220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6</w:t>
            </w:r>
            <w:r w:rsidR="004231BB" w:rsidRPr="000A4B13">
              <w:rPr>
                <w:rStyle w:val="Hipervnculo"/>
                <w:rFonts w:ascii="Century Gothic" w:eastAsia="Arial" w:hAnsi="Century Gothic" w:cstheme="minorHAnsi"/>
                <w:b/>
                <w:bCs/>
                <w:webHidden/>
                <w:sz w:val="20"/>
                <w:szCs w:val="20"/>
              </w:rPr>
              <w:fldChar w:fldCharType="end"/>
            </w:r>
          </w:hyperlink>
        </w:p>
        <w:p w14:paraId="02099EBC" w14:textId="0DEBEA92"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1" w:history="1">
            <w:r w:rsidR="004231BB" w:rsidRPr="000A4B13">
              <w:rPr>
                <w:rStyle w:val="Hipervnculo"/>
                <w:rFonts w:ascii="Century Gothic" w:eastAsia="Arial" w:hAnsi="Century Gothic" w:cstheme="minorHAnsi"/>
                <w:b/>
                <w:bCs/>
                <w:noProof/>
                <w:sz w:val="20"/>
                <w:szCs w:val="20"/>
              </w:rPr>
              <w:t>Marco Conceptual</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_Toc65502221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6</w:t>
            </w:r>
            <w:r w:rsidR="004231BB" w:rsidRPr="000A4B13">
              <w:rPr>
                <w:rStyle w:val="Hipervnculo"/>
                <w:rFonts w:ascii="Century Gothic" w:eastAsia="Arial" w:hAnsi="Century Gothic" w:cstheme="minorHAnsi"/>
                <w:b/>
                <w:bCs/>
                <w:webHidden/>
                <w:sz w:val="20"/>
                <w:szCs w:val="20"/>
              </w:rPr>
              <w:fldChar w:fldCharType="end"/>
            </w:r>
          </w:hyperlink>
        </w:p>
        <w:p w14:paraId="461B3AC2" w14:textId="2E7540BF"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2" w:history="1">
            <w:r w:rsidR="004231BB" w:rsidRPr="000A4B13">
              <w:rPr>
                <w:rStyle w:val="Hipervnculo"/>
                <w:rFonts w:ascii="Century Gothic" w:eastAsia="Arial" w:hAnsi="Century Gothic" w:cstheme="minorHAnsi"/>
                <w:b/>
                <w:bCs/>
                <w:noProof/>
                <w:sz w:val="20"/>
                <w:szCs w:val="20"/>
              </w:rPr>
              <w:t>Principios y Directrices de Calidad</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_Toc65502222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7</w:t>
            </w:r>
            <w:r w:rsidR="004231BB" w:rsidRPr="000A4B13">
              <w:rPr>
                <w:rStyle w:val="Hipervnculo"/>
                <w:rFonts w:ascii="Century Gothic" w:eastAsia="Arial" w:hAnsi="Century Gothic" w:cstheme="minorHAnsi"/>
                <w:b/>
                <w:bCs/>
                <w:webHidden/>
                <w:sz w:val="20"/>
                <w:szCs w:val="20"/>
              </w:rPr>
              <w:fldChar w:fldCharType="end"/>
            </w:r>
          </w:hyperlink>
        </w:p>
        <w:p w14:paraId="1DAA019E" w14:textId="02C40C42"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3" w:history="1">
            <w:r w:rsidR="004231BB" w:rsidRPr="000A4B13">
              <w:rPr>
                <w:rStyle w:val="Hipervnculo"/>
                <w:rFonts w:ascii="Century Gothic" w:eastAsia="Arial" w:hAnsi="Century Gothic" w:cstheme="minorHAnsi"/>
                <w:b/>
                <w:bCs/>
                <w:noProof/>
                <w:sz w:val="20"/>
                <w:szCs w:val="20"/>
              </w:rPr>
              <w:t>Norma para el Aseguramiento de la Calidad</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_Toc65502223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8</w:t>
            </w:r>
            <w:r w:rsidR="004231BB" w:rsidRPr="000A4B13">
              <w:rPr>
                <w:rStyle w:val="Hipervnculo"/>
                <w:rFonts w:ascii="Century Gothic" w:eastAsia="Arial" w:hAnsi="Century Gothic" w:cstheme="minorHAnsi"/>
                <w:b/>
                <w:bCs/>
                <w:webHidden/>
                <w:sz w:val="20"/>
                <w:szCs w:val="20"/>
              </w:rPr>
              <w:fldChar w:fldCharType="end"/>
            </w:r>
          </w:hyperlink>
        </w:p>
        <w:p w14:paraId="1E0CCC6A" w14:textId="13FD633E"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4" w:history="1">
            <w:r w:rsidR="004231BB" w:rsidRPr="000A4B13">
              <w:rPr>
                <w:rStyle w:val="Hipervnculo"/>
                <w:rFonts w:ascii="Century Gothic" w:eastAsia="Arial" w:hAnsi="Century Gothic" w:cstheme="minorHAnsi"/>
                <w:b/>
                <w:bCs/>
                <w:noProof/>
                <w:sz w:val="20"/>
                <w:szCs w:val="20"/>
              </w:rPr>
              <w:t xml:space="preserve">Actividad estratégica 1: </w:t>
            </w:r>
            <w:r w:rsidR="004231BB" w:rsidRPr="000A4B13">
              <w:rPr>
                <w:rStyle w:val="Hipervnculo"/>
                <w:rFonts w:ascii="Century Gothic" w:eastAsia="Arial" w:hAnsi="Century Gothic" w:cstheme="minorHAnsi"/>
                <w:b/>
                <w:bCs/>
                <w:sz w:val="20"/>
                <w:szCs w:val="20"/>
              </w:rPr>
              <w:tab/>
            </w:r>
            <w:r w:rsidR="004231BB" w:rsidRPr="000A4B13">
              <w:rPr>
                <w:rStyle w:val="Hipervnculo"/>
                <w:rFonts w:ascii="Century Gothic" w:eastAsia="Arial" w:hAnsi="Century Gothic" w:cstheme="minorHAnsi"/>
                <w:b/>
                <w:bCs/>
                <w:noProof/>
                <w:sz w:val="20"/>
                <w:szCs w:val="20"/>
              </w:rPr>
              <w:t>Establecer controles de calidad en procesos estandarizados y documentados</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_Toc65502224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9</w:t>
            </w:r>
            <w:r w:rsidR="004231BB" w:rsidRPr="000A4B13">
              <w:rPr>
                <w:rStyle w:val="Hipervnculo"/>
                <w:rFonts w:ascii="Century Gothic" w:eastAsia="Arial" w:hAnsi="Century Gothic" w:cstheme="minorHAnsi"/>
                <w:b/>
                <w:bCs/>
                <w:webHidden/>
                <w:sz w:val="20"/>
                <w:szCs w:val="20"/>
              </w:rPr>
              <w:fldChar w:fldCharType="end"/>
            </w:r>
          </w:hyperlink>
        </w:p>
        <w:p w14:paraId="6C0AB2F5" w14:textId="6694857E"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5" w:history="1">
            <w:r w:rsidR="004231BB" w:rsidRPr="000A4B13">
              <w:rPr>
                <w:rStyle w:val="Hipervnculo"/>
                <w:rFonts w:ascii="Century Gothic" w:eastAsia="Arial" w:hAnsi="Century Gothic" w:cstheme="minorHAnsi"/>
                <w:b/>
                <w:bCs/>
                <w:noProof/>
                <w:sz w:val="20"/>
                <w:szCs w:val="20"/>
              </w:rPr>
              <w:t xml:space="preserve">Actividad estratégica 2. </w:t>
            </w:r>
            <w:r w:rsidR="004231BB" w:rsidRPr="000A4B13">
              <w:rPr>
                <w:rStyle w:val="Hipervnculo"/>
                <w:rFonts w:ascii="Century Gothic" w:eastAsia="Arial" w:hAnsi="Century Gothic" w:cstheme="minorHAnsi"/>
                <w:b/>
                <w:bCs/>
                <w:sz w:val="20"/>
                <w:szCs w:val="20"/>
              </w:rPr>
              <w:tab/>
            </w:r>
            <w:r w:rsidR="004231BB" w:rsidRPr="000A4B13">
              <w:rPr>
                <w:rStyle w:val="Hipervnculo"/>
                <w:rFonts w:ascii="Century Gothic" w:eastAsia="Arial" w:hAnsi="Century Gothic" w:cstheme="minorHAnsi"/>
                <w:b/>
                <w:bCs/>
                <w:noProof/>
                <w:sz w:val="20"/>
                <w:szCs w:val="20"/>
              </w:rPr>
              <w:t>Evaluar de forma sistemática la calidad de la información</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_Toc65502225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10</w:t>
            </w:r>
            <w:r w:rsidR="004231BB" w:rsidRPr="000A4B13">
              <w:rPr>
                <w:rStyle w:val="Hipervnculo"/>
                <w:rFonts w:ascii="Century Gothic" w:eastAsia="Arial" w:hAnsi="Century Gothic" w:cstheme="minorHAnsi"/>
                <w:b/>
                <w:bCs/>
                <w:webHidden/>
                <w:sz w:val="20"/>
                <w:szCs w:val="20"/>
              </w:rPr>
              <w:fldChar w:fldCharType="end"/>
            </w:r>
          </w:hyperlink>
        </w:p>
        <w:p w14:paraId="71804089" w14:textId="09333100"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6" w:history="1">
            <w:r w:rsidR="004231BB" w:rsidRPr="000A4B13">
              <w:rPr>
                <w:rStyle w:val="Hipervnculo"/>
                <w:rFonts w:ascii="Century Gothic" w:eastAsia="Arial" w:hAnsi="Century Gothic" w:cstheme="minorHAnsi"/>
                <w:b/>
                <w:bCs/>
                <w:noProof/>
                <w:sz w:val="20"/>
                <w:szCs w:val="20"/>
              </w:rPr>
              <w:t xml:space="preserve">Actividad estratégica 3. </w:t>
            </w:r>
            <w:r w:rsidR="004231BB" w:rsidRPr="000A4B13">
              <w:rPr>
                <w:rStyle w:val="Hipervnculo"/>
                <w:rFonts w:ascii="Century Gothic" w:eastAsia="Arial" w:hAnsi="Century Gothic" w:cstheme="minorHAnsi"/>
                <w:b/>
                <w:bCs/>
                <w:sz w:val="20"/>
                <w:szCs w:val="20"/>
              </w:rPr>
              <w:tab/>
            </w:r>
            <w:r w:rsidR="004231BB" w:rsidRPr="000A4B13">
              <w:rPr>
                <w:rStyle w:val="Hipervnculo"/>
                <w:rFonts w:ascii="Century Gothic" w:eastAsia="Arial" w:hAnsi="Century Gothic" w:cstheme="minorHAnsi"/>
                <w:b/>
                <w:bCs/>
                <w:noProof/>
                <w:sz w:val="20"/>
                <w:szCs w:val="20"/>
              </w:rPr>
              <w:t>Desarrollar protocolos para medir y documentar el impacto de las mejoras</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_Toc65502226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12</w:t>
            </w:r>
            <w:r w:rsidR="004231BB" w:rsidRPr="000A4B13">
              <w:rPr>
                <w:rStyle w:val="Hipervnculo"/>
                <w:rFonts w:ascii="Century Gothic" w:eastAsia="Arial" w:hAnsi="Century Gothic" w:cstheme="minorHAnsi"/>
                <w:b/>
                <w:bCs/>
                <w:webHidden/>
                <w:sz w:val="20"/>
                <w:szCs w:val="20"/>
              </w:rPr>
              <w:fldChar w:fldCharType="end"/>
            </w:r>
          </w:hyperlink>
        </w:p>
        <w:p w14:paraId="6038B863" w14:textId="6E2EFC03"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7" w:history="1">
            <w:r w:rsidR="004231BB" w:rsidRPr="000A4B13">
              <w:rPr>
                <w:rStyle w:val="Hipervnculo"/>
                <w:rFonts w:ascii="Century Gothic" w:eastAsia="Arial" w:hAnsi="Century Gothic" w:cstheme="minorHAnsi"/>
                <w:b/>
                <w:bCs/>
                <w:noProof/>
                <w:sz w:val="20"/>
                <w:szCs w:val="20"/>
              </w:rPr>
              <w:t>ANEXOS</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_Toc65502227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13</w:t>
            </w:r>
            <w:r w:rsidR="004231BB" w:rsidRPr="000A4B13">
              <w:rPr>
                <w:rStyle w:val="Hipervnculo"/>
                <w:rFonts w:ascii="Century Gothic" w:eastAsia="Arial" w:hAnsi="Century Gothic" w:cstheme="minorHAnsi"/>
                <w:b/>
                <w:bCs/>
                <w:webHidden/>
                <w:sz w:val="20"/>
                <w:szCs w:val="20"/>
              </w:rPr>
              <w:fldChar w:fldCharType="end"/>
            </w:r>
          </w:hyperlink>
        </w:p>
        <w:p w14:paraId="7B06881A" w14:textId="4D33842B"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8" w:history="1">
            <w:r w:rsidR="004231BB" w:rsidRPr="000A4B13">
              <w:rPr>
                <w:rStyle w:val="Hipervnculo"/>
                <w:rFonts w:ascii="Century Gothic" w:eastAsia="Arial" w:hAnsi="Century Gothic" w:cstheme="minorHAnsi"/>
                <w:b/>
                <w:bCs/>
                <w:noProof/>
                <w:sz w:val="20"/>
                <w:szCs w:val="20"/>
              </w:rPr>
              <w:t>Anexo 1: Indicadores de Pertinencia</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_Toc65502228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14</w:t>
            </w:r>
            <w:r w:rsidR="004231BB" w:rsidRPr="000A4B13">
              <w:rPr>
                <w:rStyle w:val="Hipervnculo"/>
                <w:rFonts w:ascii="Century Gothic" w:eastAsia="Arial" w:hAnsi="Century Gothic" w:cstheme="minorHAnsi"/>
                <w:b/>
                <w:bCs/>
                <w:webHidden/>
                <w:sz w:val="20"/>
                <w:szCs w:val="20"/>
              </w:rPr>
              <w:fldChar w:fldCharType="end"/>
            </w:r>
          </w:hyperlink>
        </w:p>
        <w:p w14:paraId="44A03AFE" w14:textId="449A444B"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9" w:history="1">
            <w:r w:rsidR="004231BB" w:rsidRPr="000A4B13">
              <w:rPr>
                <w:rStyle w:val="Hipervnculo"/>
                <w:rFonts w:ascii="Century Gothic" w:eastAsia="Arial" w:hAnsi="Century Gothic" w:cstheme="minorHAnsi"/>
                <w:b/>
                <w:bCs/>
                <w:noProof/>
                <w:sz w:val="20"/>
                <w:szCs w:val="20"/>
              </w:rPr>
              <w:t>Anexo 2: Indicadores de Oportunidad</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_Toc65502229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24</w:t>
            </w:r>
            <w:r w:rsidR="004231BB" w:rsidRPr="000A4B13">
              <w:rPr>
                <w:rStyle w:val="Hipervnculo"/>
                <w:rFonts w:ascii="Century Gothic" w:eastAsia="Arial" w:hAnsi="Century Gothic" w:cstheme="minorHAnsi"/>
                <w:b/>
                <w:bCs/>
                <w:webHidden/>
                <w:sz w:val="20"/>
                <w:szCs w:val="20"/>
              </w:rPr>
              <w:fldChar w:fldCharType="end"/>
            </w:r>
          </w:hyperlink>
        </w:p>
        <w:p w14:paraId="5203EB54" w14:textId="4F95BCF9"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30" w:history="1">
            <w:r w:rsidR="004231BB" w:rsidRPr="000A4B13">
              <w:rPr>
                <w:rStyle w:val="Hipervnculo"/>
                <w:rFonts w:ascii="Century Gothic" w:eastAsia="Arial" w:hAnsi="Century Gothic" w:cstheme="minorHAnsi"/>
                <w:b/>
                <w:bCs/>
                <w:noProof/>
                <w:sz w:val="20"/>
                <w:szCs w:val="20"/>
              </w:rPr>
              <w:t>Anexo 3: Indicadores de Puntualidad</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_Toc65502230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32</w:t>
            </w:r>
            <w:r w:rsidR="004231BB" w:rsidRPr="000A4B13">
              <w:rPr>
                <w:rStyle w:val="Hipervnculo"/>
                <w:rFonts w:ascii="Century Gothic" w:eastAsia="Arial" w:hAnsi="Century Gothic" w:cstheme="minorHAnsi"/>
                <w:b/>
                <w:bCs/>
                <w:webHidden/>
                <w:sz w:val="20"/>
                <w:szCs w:val="20"/>
              </w:rPr>
              <w:fldChar w:fldCharType="end"/>
            </w:r>
          </w:hyperlink>
        </w:p>
        <w:p w14:paraId="7B67D32C" w14:textId="5CE869D1"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31" w:history="1">
            <w:r w:rsidR="004231BB" w:rsidRPr="000A4B13">
              <w:rPr>
                <w:rStyle w:val="Hipervnculo"/>
                <w:rFonts w:ascii="Century Gothic" w:eastAsia="Arial" w:hAnsi="Century Gothic" w:cstheme="minorHAnsi"/>
                <w:b/>
                <w:bCs/>
                <w:noProof/>
                <w:sz w:val="20"/>
                <w:szCs w:val="20"/>
              </w:rPr>
              <w:t>Anexo 4: Indicador de Accesibilidad</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_Toc65502231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35</w:t>
            </w:r>
            <w:r w:rsidR="004231BB" w:rsidRPr="000A4B13">
              <w:rPr>
                <w:rStyle w:val="Hipervnculo"/>
                <w:rFonts w:ascii="Century Gothic" w:eastAsia="Arial" w:hAnsi="Century Gothic" w:cstheme="minorHAnsi"/>
                <w:b/>
                <w:bCs/>
                <w:webHidden/>
                <w:sz w:val="20"/>
                <w:szCs w:val="20"/>
              </w:rPr>
              <w:fldChar w:fldCharType="end"/>
            </w:r>
          </w:hyperlink>
        </w:p>
        <w:p w14:paraId="591D4122" w14:textId="799ADA64"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32" w:history="1">
            <w:r w:rsidR="004231BB" w:rsidRPr="000A4B13">
              <w:rPr>
                <w:rStyle w:val="Hipervnculo"/>
                <w:rFonts w:ascii="Century Gothic" w:eastAsia="Arial" w:hAnsi="Century Gothic" w:cstheme="minorHAnsi"/>
                <w:b/>
                <w:bCs/>
                <w:noProof/>
                <w:sz w:val="20"/>
                <w:szCs w:val="20"/>
              </w:rPr>
              <w:t>Anexo 5: Indicadores de Precisión y confiabilidad para programas de información cuyo único insumo son registros administrativos</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_Toc65502232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38</w:t>
            </w:r>
            <w:r w:rsidR="004231BB" w:rsidRPr="000A4B13">
              <w:rPr>
                <w:rStyle w:val="Hipervnculo"/>
                <w:rFonts w:ascii="Century Gothic" w:eastAsia="Arial" w:hAnsi="Century Gothic" w:cstheme="minorHAnsi"/>
                <w:b/>
                <w:bCs/>
                <w:webHidden/>
                <w:sz w:val="20"/>
                <w:szCs w:val="20"/>
              </w:rPr>
              <w:fldChar w:fldCharType="end"/>
            </w:r>
          </w:hyperlink>
        </w:p>
        <w:p w14:paraId="5258A2D2" w14:textId="02EA5102"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33" w:history="1">
            <w:r w:rsidR="004231BB" w:rsidRPr="000A4B13">
              <w:rPr>
                <w:rStyle w:val="Hipervnculo"/>
                <w:rFonts w:ascii="Century Gothic" w:eastAsia="Arial" w:hAnsi="Century Gothic" w:cstheme="minorHAnsi"/>
                <w:b/>
                <w:bCs/>
                <w:noProof/>
                <w:sz w:val="20"/>
                <w:szCs w:val="20"/>
              </w:rPr>
              <w:t>Anexo 6: Indicadores de precisión y confiabilidad en encuestas</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_Toc65502233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46</w:t>
            </w:r>
            <w:r w:rsidR="004231BB" w:rsidRPr="000A4B13">
              <w:rPr>
                <w:rStyle w:val="Hipervnculo"/>
                <w:rFonts w:ascii="Century Gothic" w:eastAsia="Arial" w:hAnsi="Century Gothic" w:cstheme="minorHAnsi"/>
                <w:b/>
                <w:bCs/>
                <w:webHidden/>
                <w:sz w:val="20"/>
                <w:szCs w:val="20"/>
              </w:rPr>
              <w:fldChar w:fldCharType="end"/>
            </w:r>
          </w:hyperlink>
        </w:p>
        <w:p w14:paraId="2D6B3A97" w14:textId="6C52C77C" w:rsidR="004231BB" w:rsidRPr="000A4B13" w:rsidRDefault="008D4663"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34" w:history="1">
            <w:r w:rsidR="004231BB" w:rsidRPr="000A4B13">
              <w:rPr>
                <w:rStyle w:val="Hipervnculo"/>
                <w:rFonts w:ascii="Century Gothic" w:eastAsia="Arial" w:hAnsi="Century Gothic" w:cstheme="minorHAnsi"/>
                <w:b/>
                <w:bCs/>
                <w:noProof/>
                <w:sz w:val="20"/>
                <w:szCs w:val="20"/>
              </w:rPr>
              <w:t>Anexo 7: Seguimiento a la implementación del sistema de evidencias P-Tracking</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_Toc65502234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65</w:t>
            </w:r>
            <w:r w:rsidR="004231BB" w:rsidRPr="000A4B13">
              <w:rPr>
                <w:rStyle w:val="Hipervnculo"/>
                <w:rFonts w:ascii="Century Gothic" w:eastAsia="Arial" w:hAnsi="Century Gothic" w:cstheme="minorHAnsi"/>
                <w:b/>
                <w:bCs/>
                <w:webHidden/>
                <w:sz w:val="20"/>
                <w:szCs w:val="20"/>
              </w:rPr>
              <w:fldChar w:fldCharType="end"/>
            </w:r>
          </w:hyperlink>
        </w:p>
        <w:p w14:paraId="05B386B4" w14:textId="16E7EC10" w:rsidR="004231BB" w:rsidRDefault="008D4663" w:rsidP="000A4B13">
          <w:pPr>
            <w:pStyle w:val="TDC1"/>
            <w:widowControl w:val="0"/>
            <w:tabs>
              <w:tab w:val="clear" w:pos="2833"/>
              <w:tab w:val="clear" w:pos="10076"/>
              <w:tab w:val="right" w:leader="dot" w:pos="10770"/>
            </w:tabs>
            <w:spacing w:before="120" w:after="0" w:line="240" w:lineRule="auto"/>
            <w:ind w:left="1276" w:hanging="425"/>
            <w:jc w:val="both"/>
            <w:rPr>
              <w:rFonts w:eastAsiaTheme="minorEastAsia"/>
              <w:noProof/>
              <w:lang w:val="en-US"/>
            </w:rPr>
          </w:pPr>
          <w:hyperlink w:anchor="_Toc65502235" w:history="1">
            <w:r w:rsidR="004231BB" w:rsidRPr="000A4B13">
              <w:rPr>
                <w:rStyle w:val="Hipervnculo"/>
                <w:rFonts w:ascii="Century Gothic" w:eastAsia="Arial" w:hAnsi="Century Gothic" w:cstheme="minorHAnsi"/>
                <w:b/>
                <w:bCs/>
                <w:noProof/>
                <w:sz w:val="20"/>
                <w:szCs w:val="20"/>
              </w:rPr>
              <w:t>GLOSARIO DE ACRÓNIMOS</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_Toc65502235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72</w:t>
            </w:r>
            <w:r w:rsidR="004231BB" w:rsidRPr="000A4B13">
              <w:rPr>
                <w:rStyle w:val="Hipervnculo"/>
                <w:rFonts w:ascii="Century Gothic" w:eastAsia="Arial" w:hAnsi="Century Gothic" w:cstheme="minorHAnsi"/>
                <w:b/>
                <w:bCs/>
                <w:webHidden/>
                <w:sz w:val="20"/>
                <w:szCs w:val="20"/>
              </w:rPr>
              <w:fldChar w:fldCharType="end"/>
            </w:r>
          </w:hyperlink>
        </w:p>
        <w:p w14:paraId="79C1EE54" w14:textId="534364AE" w:rsidR="00252CA7" w:rsidRPr="00296E53" w:rsidRDefault="00252CA7">
          <w:r w:rsidRPr="00296E53">
            <w:rPr>
              <w:rFonts w:cstheme="minorHAnsi"/>
              <w:b/>
              <w:bCs/>
              <w:sz w:val="20"/>
              <w:szCs w:val="20"/>
              <w:lang w:val="es-ES"/>
            </w:rPr>
            <w:fldChar w:fldCharType="end"/>
          </w:r>
        </w:p>
      </w:sdtContent>
    </w:sdt>
    <w:p w14:paraId="1FE10B12" w14:textId="77777777" w:rsidR="00C41741" w:rsidRPr="00296E53" w:rsidRDefault="000466EE" w:rsidP="000466EE">
      <w:pPr>
        <w:tabs>
          <w:tab w:val="left" w:pos="4402"/>
        </w:tabs>
        <w:rPr>
          <w:rFonts w:ascii="Century Gothic" w:hAnsi="Century Gothic"/>
        </w:rPr>
      </w:pPr>
      <w:r w:rsidRPr="00296E53">
        <w:rPr>
          <w:rFonts w:ascii="Century Gothic" w:hAnsi="Century Gothic"/>
        </w:rPr>
        <w:tab/>
      </w:r>
    </w:p>
    <w:p w14:paraId="17728370" w14:textId="77777777" w:rsidR="00915543" w:rsidRPr="00296E53" w:rsidRDefault="00915543">
      <w:pPr>
        <w:rPr>
          <w:rFonts w:ascii="Century Gothic" w:hAnsi="Century Gothic"/>
        </w:rPr>
      </w:pPr>
    </w:p>
    <w:p w14:paraId="1F29279F" w14:textId="77777777" w:rsidR="00FE5D49" w:rsidRPr="00296E53" w:rsidRDefault="00FE5D49">
      <w:pPr>
        <w:rPr>
          <w:rFonts w:ascii="Century Gothic" w:hAnsi="Century Gothic"/>
        </w:rPr>
      </w:pPr>
      <w:r w:rsidRPr="00296E53">
        <w:rPr>
          <w:rFonts w:ascii="Century Gothic" w:hAnsi="Century Gothic"/>
        </w:rPr>
        <w:br w:type="page"/>
      </w:r>
    </w:p>
    <w:tbl>
      <w:tblPr>
        <w:tblW w:w="12763" w:type="dxa"/>
        <w:tblInd w:w="-1139" w:type="dxa"/>
        <w:tblLook w:val="04A0" w:firstRow="1" w:lastRow="0" w:firstColumn="1" w:lastColumn="0" w:noHBand="0" w:noVBand="1"/>
      </w:tblPr>
      <w:tblGrid>
        <w:gridCol w:w="4820"/>
        <w:gridCol w:w="7943"/>
      </w:tblGrid>
      <w:tr w:rsidR="00613C02" w:rsidRPr="00296E53" w14:paraId="57A78700" w14:textId="77777777" w:rsidTr="00C801C8">
        <w:trPr>
          <w:trHeight w:val="201"/>
        </w:trPr>
        <w:tc>
          <w:tcPr>
            <w:tcW w:w="12763" w:type="dxa"/>
            <w:gridSpan w:val="2"/>
            <w:shd w:val="clear" w:color="auto" w:fill="auto"/>
          </w:tcPr>
          <w:p w14:paraId="08E1C0A1" w14:textId="77777777" w:rsidR="00613C02" w:rsidRPr="00296E53" w:rsidRDefault="00613C02" w:rsidP="00C801C8">
            <w:pPr>
              <w:pStyle w:val="Ttulo1"/>
              <w:spacing w:before="0"/>
              <w:ind w:left="4858"/>
              <w:jc w:val="center"/>
              <w:rPr>
                <w:rFonts w:cstheme="minorHAnsi"/>
                <w:b/>
                <w:bCs/>
                <w:color w:val="000000" w:themeColor="text1"/>
              </w:rPr>
            </w:pPr>
            <w:bookmarkStart w:id="0" w:name="_Toc65502218"/>
            <w:r w:rsidRPr="00296E53">
              <w:rPr>
                <w:rFonts w:cstheme="minorHAnsi"/>
                <w:b/>
                <w:bCs/>
                <w:color w:val="0079BF"/>
                <w:sz w:val="36"/>
                <w:szCs w:val="36"/>
              </w:rPr>
              <w:t>INTRODUCCIÓN</w:t>
            </w:r>
            <w:bookmarkEnd w:id="0"/>
          </w:p>
        </w:tc>
      </w:tr>
      <w:tr w:rsidR="00613C02" w:rsidRPr="00296E53" w14:paraId="460EE459" w14:textId="77777777" w:rsidTr="00C801C8">
        <w:trPr>
          <w:trHeight w:val="201"/>
        </w:trPr>
        <w:tc>
          <w:tcPr>
            <w:tcW w:w="4820" w:type="dxa"/>
            <w:shd w:val="clear" w:color="auto" w:fill="1F3864" w:themeFill="accent5" w:themeFillShade="80"/>
          </w:tcPr>
          <w:p w14:paraId="50F2F2C6" w14:textId="77777777" w:rsidR="00613C02" w:rsidRPr="00296E53" w:rsidRDefault="00613C02" w:rsidP="00613C02">
            <w:pPr>
              <w:rPr>
                <w:rFonts w:cstheme="minorHAnsi"/>
                <w:color w:val="FFFFFF" w:themeColor="background1"/>
                <w:sz w:val="2"/>
                <w:szCs w:val="18"/>
              </w:rPr>
            </w:pPr>
          </w:p>
        </w:tc>
        <w:tc>
          <w:tcPr>
            <w:tcW w:w="7943" w:type="dxa"/>
            <w:shd w:val="clear" w:color="auto" w:fill="auto"/>
          </w:tcPr>
          <w:p w14:paraId="135885BA" w14:textId="77777777" w:rsidR="00613C02" w:rsidRPr="00296E53" w:rsidRDefault="00613C02" w:rsidP="00613C02">
            <w:pPr>
              <w:rPr>
                <w:rFonts w:cstheme="minorHAnsi"/>
                <w:color w:val="FFFFFF" w:themeColor="background1"/>
                <w:sz w:val="2"/>
                <w:szCs w:val="18"/>
              </w:rPr>
            </w:pPr>
          </w:p>
        </w:tc>
      </w:tr>
      <w:tr w:rsidR="00C801C8" w:rsidRPr="00296E53" w14:paraId="69B650A5" w14:textId="77777777" w:rsidTr="00C801C8">
        <w:trPr>
          <w:trHeight w:val="201"/>
        </w:trPr>
        <w:tc>
          <w:tcPr>
            <w:tcW w:w="4820" w:type="dxa"/>
            <w:shd w:val="clear" w:color="auto" w:fill="0079BF"/>
          </w:tcPr>
          <w:p w14:paraId="445AF184" w14:textId="77777777" w:rsidR="00C801C8" w:rsidRPr="00296E53" w:rsidRDefault="00C801C8" w:rsidP="00613C02">
            <w:pPr>
              <w:rPr>
                <w:rFonts w:cstheme="minorHAnsi"/>
                <w:color w:val="FFFFFF" w:themeColor="background1"/>
                <w:sz w:val="2"/>
                <w:szCs w:val="18"/>
              </w:rPr>
            </w:pPr>
          </w:p>
        </w:tc>
        <w:tc>
          <w:tcPr>
            <w:tcW w:w="7943" w:type="dxa"/>
            <w:shd w:val="clear" w:color="auto" w:fill="0079BF"/>
          </w:tcPr>
          <w:p w14:paraId="6FF01DDB" w14:textId="77777777" w:rsidR="00C801C8" w:rsidRPr="00296E53" w:rsidRDefault="00C801C8" w:rsidP="00613C02">
            <w:pPr>
              <w:rPr>
                <w:rFonts w:cstheme="minorHAnsi"/>
                <w:color w:val="FFFFFF" w:themeColor="background1"/>
                <w:sz w:val="2"/>
                <w:szCs w:val="18"/>
              </w:rPr>
            </w:pPr>
          </w:p>
        </w:tc>
      </w:tr>
    </w:tbl>
    <w:p w14:paraId="1240ADF9" w14:textId="77777777" w:rsidR="00FC6D5A" w:rsidRPr="00296E53" w:rsidRDefault="00FC6D5A" w:rsidP="00734130">
      <w:pPr>
        <w:spacing w:before="120" w:after="120"/>
        <w:ind w:right="21"/>
        <w:jc w:val="both"/>
        <w:rPr>
          <w:rFonts w:ascii="Century Gothic" w:hAnsi="Century Gothic"/>
          <w:sz w:val="19"/>
          <w:szCs w:val="19"/>
        </w:rPr>
      </w:pPr>
    </w:p>
    <w:p w14:paraId="565EEFBD" w14:textId="7EC071B5" w:rsidR="00554CC9" w:rsidRPr="00296E53" w:rsidRDefault="00A273D4" w:rsidP="00734130">
      <w:pPr>
        <w:spacing w:before="120" w:after="120"/>
        <w:ind w:right="21"/>
        <w:jc w:val="both"/>
        <w:rPr>
          <w:rFonts w:ascii="Century Gothic" w:hAnsi="Century Gothic"/>
          <w:sz w:val="19"/>
          <w:szCs w:val="19"/>
        </w:rPr>
      </w:pPr>
      <w:r w:rsidRPr="00296E53">
        <w:rPr>
          <w:rFonts w:ascii="Century Gothic" w:hAnsi="Century Gothic"/>
          <w:sz w:val="19"/>
          <w:szCs w:val="19"/>
        </w:rPr>
        <w:t xml:space="preserve">El Comité de Aseguramiento de la Calidad del </w:t>
      </w:r>
      <w:r w:rsidR="006F3A2F" w:rsidRPr="00296E53">
        <w:rPr>
          <w:rFonts w:ascii="Century Gothic" w:hAnsi="Century Gothic"/>
          <w:sz w:val="19"/>
          <w:szCs w:val="19"/>
        </w:rPr>
        <w:t>Instituto Nacional de Estadística y Geografía (</w:t>
      </w:r>
      <w:r w:rsidRPr="00296E53">
        <w:rPr>
          <w:rFonts w:ascii="Century Gothic" w:hAnsi="Century Gothic"/>
          <w:sz w:val="19"/>
          <w:szCs w:val="19"/>
        </w:rPr>
        <w:t>INEGI</w:t>
      </w:r>
      <w:r w:rsidR="006F3A2F" w:rsidRPr="00296E53">
        <w:rPr>
          <w:rFonts w:ascii="Century Gothic" w:hAnsi="Century Gothic"/>
          <w:sz w:val="19"/>
          <w:szCs w:val="19"/>
        </w:rPr>
        <w:t>)</w:t>
      </w:r>
      <w:r w:rsidRPr="00296E53">
        <w:rPr>
          <w:rFonts w:ascii="Century Gothic" w:hAnsi="Century Gothic"/>
          <w:sz w:val="19"/>
          <w:szCs w:val="19"/>
        </w:rPr>
        <w:t xml:space="preserve"> </w:t>
      </w:r>
      <w:r w:rsidR="00F124EE" w:rsidRPr="00296E53">
        <w:rPr>
          <w:rFonts w:ascii="Century Gothic" w:hAnsi="Century Gothic"/>
          <w:sz w:val="19"/>
          <w:szCs w:val="19"/>
        </w:rPr>
        <w:t xml:space="preserve">se ha consolidado como un espacio de reflexión y toma de decisiones </w:t>
      </w:r>
      <w:r w:rsidR="00734130" w:rsidRPr="00296E53">
        <w:rPr>
          <w:rFonts w:ascii="Century Gothic" w:hAnsi="Century Gothic"/>
          <w:sz w:val="19"/>
          <w:szCs w:val="19"/>
        </w:rPr>
        <w:t xml:space="preserve">a través de la participación directa de </w:t>
      </w:r>
      <w:r w:rsidR="00F124EE" w:rsidRPr="00296E53">
        <w:rPr>
          <w:rFonts w:ascii="Century Gothic" w:hAnsi="Century Gothic"/>
          <w:sz w:val="19"/>
          <w:szCs w:val="19"/>
        </w:rPr>
        <w:t xml:space="preserve">los titulares de las </w:t>
      </w:r>
      <w:r w:rsidR="00AF18B8" w:rsidRPr="00296E53">
        <w:rPr>
          <w:rFonts w:ascii="Century Gothic" w:hAnsi="Century Gothic"/>
          <w:sz w:val="19"/>
          <w:szCs w:val="19"/>
        </w:rPr>
        <w:t xml:space="preserve">Unidades Administrativas del INEGI </w:t>
      </w:r>
      <w:r w:rsidR="00B01F7C" w:rsidRPr="00296E53">
        <w:rPr>
          <w:rFonts w:ascii="Century Gothic" w:hAnsi="Century Gothic"/>
          <w:sz w:val="19"/>
          <w:szCs w:val="19"/>
        </w:rPr>
        <w:t>y el presidente del Instituto</w:t>
      </w:r>
      <w:r w:rsidRPr="00296E53">
        <w:rPr>
          <w:rFonts w:ascii="Century Gothic" w:hAnsi="Century Gothic"/>
          <w:sz w:val="19"/>
          <w:szCs w:val="19"/>
        </w:rPr>
        <w:t>.</w:t>
      </w:r>
      <w:r w:rsidR="00055C06" w:rsidRPr="00296E53">
        <w:rPr>
          <w:rFonts w:ascii="Century Gothic" w:hAnsi="Century Gothic"/>
          <w:sz w:val="19"/>
          <w:szCs w:val="19"/>
        </w:rPr>
        <w:t xml:space="preserve"> </w:t>
      </w:r>
      <w:r w:rsidR="00554CC9" w:rsidRPr="00296E53">
        <w:rPr>
          <w:rFonts w:ascii="Century Gothic" w:hAnsi="Century Gothic"/>
          <w:sz w:val="19"/>
          <w:szCs w:val="19"/>
        </w:rPr>
        <w:t>En 2020 se incluyeron como invitados permanentes a los vicepresidentes de la Junta de Gobierno.</w:t>
      </w:r>
      <w:r w:rsidR="00734130" w:rsidRPr="00296E53">
        <w:rPr>
          <w:rFonts w:ascii="Century Gothic" w:hAnsi="Century Gothic"/>
          <w:sz w:val="19"/>
          <w:szCs w:val="19"/>
        </w:rPr>
        <w:t xml:space="preserve"> D</w:t>
      </w:r>
      <w:r w:rsidR="00DA4367" w:rsidRPr="00296E53">
        <w:rPr>
          <w:rFonts w:ascii="Century Gothic" w:hAnsi="Century Gothic"/>
          <w:sz w:val="19"/>
          <w:szCs w:val="19"/>
        </w:rPr>
        <w:t>erivado de la pandemia</w:t>
      </w:r>
      <w:r w:rsidR="00734130" w:rsidRPr="00296E53">
        <w:rPr>
          <w:rFonts w:ascii="Century Gothic" w:hAnsi="Century Gothic"/>
          <w:sz w:val="19"/>
          <w:szCs w:val="19"/>
        </w:rPr>
        <w:t xml:space="preserve"> de coronavirus</w:t>
      </w:r>
      <w:r w:rsidR="00DA4367" w:rsidRPr="00296E53">
        <w:rPr>
          <w:rFonts w:ascii="Century Gothic" w:hAnsi="Century Gothic"/>
          <w:sz w:val="19"/>
          <w:szCs w:val="19"/>
        </w:rPr>
        <w:t>, fue necesario adecuar las actividades del Instituto</w:t>
      </w:r>
      <w:r w:rsidR="00CA1711" w:rsidRPr="00296E53">
        <w:rPr>
          <w:rFonts w:ascii="Century Gothic" w:hAnsi="Century Gothic"/>
          <w:sz w:val="19"/>
          <w:szCs w:val="19"/>
        </w:rPr>
        <w:t>, incluyendo las del Comité de Aseguramiento de la Calidad.  Se llevaron a cabo cuatro sesiones, tres de las cuales fueron por videoconferencia con lo que se dio continuidad a los trabajos, resultando en reflexiones interesantes sobre los distintos temas abordados</w:t>
      </w:r>
      <w:r w:rsidR="00912545" w:rsidRPr="00296E53">
        <w:rPr>
          <w:rFonts w:ascii="Century Gothic" w:hAnsi="Century Gothic"/>
          <w:sz w:val="19"/>
          <w:szCs w:val="19"/>
        </w:rPr>
        <w:t>.</w:t>
      </w:r>
    </w:p>
    <w:p w14:paraId="13200E0A" w14:textId="0FFDE333" w:rsidR="00734130" w:rsidRPr="00296E53" w:rsidRDefault="00B367B9" w:rsidP="00734130">
      <w:pPr>
        <w:spacing w:before="120" w:after="120"/>
        <w:jc w:val="both"/>
        <w:rPr>
          <w:rFonts w:ascii="Century Gothic" w:hAnsi="Century Gothic"/>
          <w:sz w:val="19"/>
          <w:szCs w:val="19"/>
        </w:rPr>
      </w:pPr>
      <w:r w:rsidRPr="00296E53">
        <w:rPr>
          <w:rFonts w:ascii="Century Gothic" w:hAnsi="Century Gothic"/>
          <w:sz w:val="19"/>
          <w:szCs w:val="19"/>
        </w:rPr>
        <w:t>En la Quinta Sesión de 2019 se revisó el avance sobre las metas previstas y se fijaron las metas correspondientes al período 2020-2022</w:t>
      </w:r>
      <w:r w:rsidR="004D3A8B" w:rsidRPr="00296E53">
        <w:rPr>
          <w:rStyle w:val="Refdenotaalpie"/>
          <w:rFonts w:ascii="Century Gothic" w:hAnsi="Century Gothic"/>
          <w:sz w:val="19"/>
          <w:szCs w:val="19"/>
        </w:rPr>
        <w:footnoteReference w:id="1"/>
      </w:r>
      <w:r w:rsidRPr="00296E53">
        <w:rPr>
          <w:rFonts w:ascii="Century Gothic" w:hAnsi="Century Gothic"/>
          <w:sz w:val="19"/>
          <w:szCs w:val="19"/>
        </w:rPr>
        <w:t xml:space="preserve">.  </w:t>
      </w:r>
      <w:r w:rsidR="00C15C57">
        <w:rPr>
          <w:rFonts w:ascii="Century Gothic" w:hAnsi="Century Gothic"/>
          <w:sz w:val="19"/>
          <w:szCs w:val="19"/>
        </w:rPr>
        <w:t xml:space="preserve">Se establecieron tres estrategias que se articulan </w:t>
      </w:r>
      <w:r w:rsidR="00734130" w:rsidRPr="00296E53">
        <w:rPr>
          <w:rFonts w:ascii="Century Gothic" w:hAnsi="Century Gothic"/>
          <w:sz w:val="19"/>
          <w:szCs w:val="19"/>
        </w:rPr>
        <w:t>para generar un sistema continuo de aseguramiento de la calidad</w:t>
      </w:r>
      <w:r w:rsidR="00912545" w:rsidRPr="00296E53">
        <w:rPr>
          <w:rFonts w:ascii="Century Gothic" w:hAnsi="Century Gothic"/>
          <w:sz w:val="19"/>
          <w:szCs w:val="19"/>
        </w:rPr>
        <w:t>.</w:t>
      </w:r>
      <w:r w:rsidR="00734130" w:rsidRPr="00296E53">
        <w:rPr>
          <w:rFonts w:ascii="Century Gothic" w:hAnsi="Century Gothic"/>
          <w:sz w:val="19"/>
          <w:szCs w:val="19"/>
        </w:rPr>
        <w:t xml:space="preserve"> </w:t>
      </w:r>
      <w:r w:rsidR="00912545" w:rsidRPr="00296E53">
        <w:rPr>
          <w:rFonts w:ascii="Century Gothic" w:hAnsi="Century Gothic"/>
          <w:sz w:val="19"/>
          <w:szCs w:val="19"/>
        </w:rPr>
        <w:t>P</w:t>
      </w:r>
      <w:r w:rsidR="00734130" w:rsidRPr="00296E53">
        <w:rPr>
          <w:rFonts w:ascii="Century Gothic" w:hAnsi="Century Gothic"/>
          <w:sz w:val="19"/>
          <w:szCs w:val="19"/>
        </w:rPr>
        <w:t>or un lado, la generación, captación, integración y difusión de información estadística y geográfica se realiza siguiendo un conjunto de procesos; por ello</w:t>
      </w:r>
      <w:r w:rsidR="00912545" w:rsidRPr="00296E53">
        <w:rPr>
          <w:rFonts w:ascii="Century Gothic" w:hAnsi="Century Gothic"/>
          <w:sz w:val="19"/>
          <w:szCs w:val="19"/>
        </w:rPr>
        <w:t>,</w:t>
      </w:r>
      <w:r w:rsidR="00734130" w:rsidRPr="00296E53">
        <w:rPr>
          <w:rFonts w:ascii="Century Gothic" w:hAnsi="Century Gothic"/>
          <w:sz w:val="19"/>
          <w:szCs w:val="19"/>
        </w:rPr>
        <w:t xml:space="preserve"> la primera estrategia del aseguramiento de la calidad es el establecimiento de controles de calidad en procesos estandarizados y documentados. La segunda estrategia se refiere a evaluar de forma sistemática la calidad de la información que se genera, ya que permite identificar áreas de mejora además de proporcionar a los usuarios elementos para facilitar el manejo de la información.  </w:t>
      </w:r>
    </w:p>
    <w:p w14:paraId="4FC74A15" w14:textId="410FC590" w:rsidR="00FC6D5A" w:rsidRPr="00296E53" w:rsidRDefault="00734130" w:rsidP="00734130">
      <w:pPr>
        <w:spacing w:after="120"/>
        <w:jc w:val="both"/>
        <w:rPr>
          <w:rFonts w:ascii="Century Gothic" w:hAnsi="Century Gothic"/>
          <w:sz w:val="19"/>
          <w:szCs w:val="19"/>
        </w:rPr>
      </w:pPr>
      <w:r w:rsidRPr="00296E53">
        <w:rPr>
          <w:rFonts w:ascii="Century Gothic" w:hAnsi="Century Gothic"/>
          <w:sz w:val="19"/>
          <w:szCs w:val="19"/>
        </w:rPr>
        <w:t>Por último, la tercera estrategia es el desarrollo del mejoramiento continuo. Para llevar a cabo acciones de mejora es necesario incluir en los procesos las recomendaciones que surgen como resultado de la evaluación. Evidentemente</w:t>
      </w:r>
      <w:r w:rsidR="00E906FB" w:rsidRPr="00296E53">
        <w:rPr>
          <w:rFonts w:ascii="Century Gothic" w:hAnsi="Century Gothic"/>
          <w:sz w:val="19"/>
          <w:szCs w:val="19"/>
        </w:rPr>
        <w:t>,</w:t>
      </w:r>
      <w:r w:rsidRPr="00296E53">
        <w:rPr>
          <w:rFonts w:ascii="Century Gothic" w:hAnsi="Century Gothic"/>
          <w:sz w:val="19"/>
          <w:szCs w:val="19"/>
        </w:rPr>
        <w:t xml:space="preserve"> en las actividades estadísticas y geográficas es importante que el impacto de estas acciones sea medido y documentado para conocer si los cambios observados en la información se deben a la acción de mejora o a cambios en la realidad misma. Para encaminar el trabajo institucional hacia la mejora continua, las estrategias deberán estar acompañadas de actividades de capacitación y difusión del aseguramiento de la calidad.</w:t>
      </w:r>
      <w:r w:rsidRPr="00296E53">
        <w:rPr>
          <w:rStyle w:val="Refdenotaalpie"/>
          <w:rFonts w:ascii="Century Gothic" w:hAnsi="Century Gothic"/>
          <w:sz w:val="19"/>
          <w:szCs w:val="19"/>
        </w:rPr>
        <w:footnoteReference w:id="2"/>
      </w:r>
      <w:r w:rsidRPr="00296E53">
        <w:rPr>
          <w:rFonts w:ascii="Century Gothic" w:hAnsi="Century Gothic"/>
          <w:sz w:val="19"/>
          <w:szCs w:val="19"/>
        </w:rPr>
        <w:t>.</w:t>
      </w:r>
    </w:p>
    <w:tbl>
      <w:tblPr>
        <w:tblW w:w="0" w:type="auto"/>
        <w:tblBorders>
          <w:insideH w:val="single" w:sz="18" w:space="0" w:color="FFFFFF" w:themeColor="background1"/>
          <w:insideV w:val="single" w:sz="18" w:space="0" w:color="FFFFFF" w:themeColor="background1"/>
        </w:tblBorders>
        <w:tblLook w:val="04A0" w:firstRow="1" w:lastRow="0" w:firstColumn="1" w:lastColumn="0" w:noHBand="0" w:noVBand="1"/>
      </w:tblPr>
      <w:tblGrid>
        <w:gridCol w:w="2977"/>
        <w:gridCol w:w="7813"/>
      </w:tblGrid>
      <w:tr w:rsidR="0021655A" w:rsidRPr="00296E53" w14:paraId="53239BC8" w14:textId="77777777" w:rsidTr="00E1363A">
        <w:trPr>
          <w:trHeight w:val="304"/>
        </w:trPr>
        <w:tc>
          <w:tcPr>
            <w:tcW w:w="2977" w:type="dxa"/>
            <w:shd w:val="clear" w:color="auto" w:fill="C5EAFF"/>
            <w:vAlign w:val="center"/>
          </w:tcPr>
          <w:p w14:paraId="2B71E72A" w14:textId="77777777" w:rsidR="0021655A" w:rsidRPr="00296E53" w:rsidRDefault="0021655A" w:rsidP="0021655A">
            <w:pPr>
              <w:jc w:val="center"/>
              <w:rPr>
                <w:rFonts w:ascii="Century Gothic" w:hAnsi="Century Gothic"/>
                <w:b/>
                <w:bCs/>
                <w:sz w:val="17"/>
                <w:szCs w:val="17"/>
              </w:rPr>
            </w:pPr>
            <w:r w:rsidRPr="00296E53">
              <w:rPr>
                <w:rFonts w:ascii="Century Gothic" w:hAnsi="Century Gothic"/>
                <w:b/>
                <w:bCs/>
                <w:sz w:val="17"/>
                <w:szCs w:val="17"/>
              </w:rPr>
              <w:t>ESTRATEGIAS</w:t>
            </w:r>
          </w:p>
        </w:tc>
        <w:tc>
          <w:tcPr>
            <w:tcW w:w="7813" w:type="dxa"/>
            <w:shd w:val="clear" w:color="auto" w:fill="C5EAFF"/>
            <w:vAlign w:val="center"/>
          </w:tcPr>
          <w:p w14:paraId="4BBE0070" w14:textId="77777777" w:rsidR="0021655A" w:rsidRPr="00296E53" w:rsidRDefault="0021655A" w:rsidP="0021655A">
            <w:pPr>
              <w:jc w:val="center"/>
              <w:rPr>
                <w:rFonts w:ascii="Century Gothic" w:hAnsi="Century Gothic"/>
                <w:b/>
                <w:bCs/>
                <w:sz w:val="17"/>
                <w:szCs w:val="17"/>
              </w:rPr>
            </w:pPr>
            <w:r w:rsidRPr="00296E53">
              <w:rPr>
                <w:rFonts w:ascii="Century Gothic" w:hAnsi="Century Gothic"/>
                <w:b/>
                <w:bCs/>
                <w:sz w:val="17"/>
                <w:szCs w:val="17"/>
              </w:rPr>
              <w:t>METAS AL 2022</w:t>
            </w:r>
          </w:p>
        </w:tc>
      </w:tr>
      <w:tr w:rsidR="0021655A" w:rsidRPr="00296E53" w14:paraId="3EA498B4" w14:textId="77777777" w:rsidTr="00E1363A">
        <w:tc>
          <w:tcPr>
            <w:tcW w:w="2977" w:type="dxa"/>
            <w:shd w:val="clear" w:color="auto" w:fill="C5EAFF"/>
            <w:vAlign w:val="center"/>
          </w:tcPr>
          <w:p w14:paraId="181C325B" w14:textId="77777777" w:rsidR="0021655A" w:rsidRPr="00296E53" w:rsidRDefault="0021655A" w:rsidP="0021655A">
            <w:pPr>
              <w:rPr>
                <w:rFonts w:ascii="Century Gothic" w:hAnsi="Century Gothic"/>
                <w:sz w:val="17"/>
                <w:szCs w:val="17"/>
              </w:rPr>
            </w:pPr>
            <w:r w:rsidRPr="00296E53">
              <w:rPr>
                <w:rFonts w:ascii="Century Gothic" w:hAnsi="Century Gothic"/>
                <w:sz w:val="17"/>
                <w:szCs w:val="17"/>
              </w:rPr>
              <w:t>1. Establecer controles de calidad en procesos estandarizados y documentados</w:t>
            </w:r>
          </w:p>
        </w:tc>
        <w:tc>
          <w:tcPr>
            <w:tcW w:w="7813" w:type="dxa"/>
            <w:shd w:val="clear" w:color="auto" w:fill="C5EAFF"/>
            <w:vAlign w:val="center"/>
          </w:tcPr>
          <w:p w14:paraId="0CC499B7" w14:textId="77777777" w:rsidR="00E1363A" w:rsidRPr="00296E53" w:rsidRDefault="00E1363A" w:rsidP="004C2C1D">
            <w:pPr>
              <w:pStyle w:val="Default"/>
              <w:numPr>
                <w:ilvl w:val="0"/>
                <w:numId w:val="15"/>
              </w:numPr>
              <w:spacing w:after="120"/>
              <w:ind w:left="181" w:hanging="181"/>
              <w:rPr>
                <w:rFonts w:ascii="Century Gothic" w:hAnsi="Century Gothic"/>
                <w:color w:val="404040" w:themeColor="text1" w:themeTint="BF"/>
                <w:sz w:val="17"/>
                <w:szCs w:val="17"/>
                <w:lang w:val="es-MX"/>
              </w:rPr>
            </w:pPr>
            <w:r w:rsidRPr="00296E53">
              <w:rPr>
                <w:rFonts w:ascii="Century Gothic" w:hAnsi="Century Gothic"/>
                <w:color w:val="404040" w:themeColor="text1" w:themeTint="BF"/>
                <w:sz w:val="17"/>
                <w:szCs w:val="17"/>
                <w:lang w:val="es-MX"/>
              </w:rPr>
              <w:t xml:space="preserve">El 100% de las evidencias del MPEG son recopiladas de forma estandarizada, dependiendo de la naturaleza de cada fase. </w:t>
            </w:r>
          </w:p>
          <w:p w14:paraId="6D49ADFC" w14:textId="77777777" w:rsidR="0021655A" w:rsidRPr="00296E53" w:rsidRDefault="00E1363A" w:rsidP="004C2C1D">
            <w:pPr>
              <w:pStyle w:val="Prrafodelista"/>
              <w:numPr>
                <w:ilvl w:val="0"/>
                <w:numId w:val="15"/>
              </w:numPr>
              <w:spacing w:after="120"/>
              <w:ind w:left="181" w:hanging="181"/>
              <w:jc w:val="both"/>
              <w:rPr>
                <w:rFonts w:ascii="Century Gothic" w:hAnsi="Century Gothic"/>
                <w:sz w:val="17"/>
                <w:szCs w:val="17"/>
              </w:rPr>
            </w:pPr>
            <w:r w:rsidRPr="00296E53">
              <w:rPr>
                <w:rFonts w:ascii="Century Gothic" w:hAnsi="Century Gothic"/>
                <w:color w:val="404040" w:themeColor="text1" w:themeTint="BF"/>
                <w:sz w:val="17"/>
                <w:szCs w:val="17"/>
              </w:rPr>
              <w:t>Se cuenta con indicadores operativos y tableros con el fin de apoyar el control de calidad en el proceso del 100% de los programas de información</w:t>
            </w:r>
            <w:r w:rsidR="0021655A" w:rsidRPr="00296E53">
              <w:rPr>
                <w:rFonts w:ascii="Century Gothic" w:hAnsi="Century Gothic"/>
                <w:color w:val="404040" w:themeColor="text1" w:themeTint="BF"/>
                <w:sz w:val="17"/>
                <w:szCs w:val="17"/>
              </w:rPr>
              <w:t>.</w:t>
            </w:r>
          </w:p>
        </w:tc>
      </w:tr>
      <w:tr w:rsidR="0021655A" w:rsidRPr="00296E53" w14:paraId="152869CD" w14:textId="77777777" w:rsidTr="00E1363A">
        <w:tc>
          <w:tcPr>
            <w:tcW w:w="2977" w:type="dxa"/>
            <w:shd w:val="clear" w:color="auto" w:fill="C5EAFF"/>
            <w:vAlign w:val="center"/>
          </w:tcPr>
          <w:p w14:paraId="4B830A7B" w14:textId="77777777" w:rsidR="0021655A" w:rsidRPr="00296E53" w:rsidRDefault="0021655A" w:rsidP="0021655A">
            <w:pPr>
              <w:rPr>
                <w:rFonts w:ascii="Century Gothic" w:hAnsi="Century Gothic"/>
                <w:sz w:val="17"/>
                <w:szCs w:val="17"/>
              </w:rPr>
            </w:pPr>
            <w:r w:rsidRPr="00296E53">
              <w:rPr>
                <w:rFonts w:ascii="Century Gothic" w:hAnsi="Century Gothic"/>
                <w:sz w:val="17"/>
                <w:szCs w:val="17"/>
              </w:rPr>
              <w:t>2. Evaluar de forma sistemática la calidad de la información</w:t>
            </w:r>
          </w:p>
        </w:tc>
        <w:tc>
          <w:tcPr>
            <w:tcW w:w="7813" w:type="dxa"/>
            <w:shd w:val="clear" w:color="auto" w:fill="C5EAFF"/>
            <w:vAlign w:val="center"/>
          </w:tcPr>
          <w:p w14:paraId="7D35E965" w14:textId="4D4129E1" w:rsidR="00E1363A" w:rsidRPr="00296E53" w:rsidRDefault="00E1363A" w:rsidP="004C2C1D">
            <w:pPr>
              <w:pStyle w:val="Default"/>
              <w:numPr>
                <w:ilvl w:val="0"/>
                <w:numId w:val="15"/>
              </w:numPr>
              <w:spacing w:after="120"/>
              <w:ind w:left="181" w:hanging="181"/>
              <w:rPr>
                <w:rFonts w:ascii="Century Gothic" w:hAnsi="Century Gothic"/>
                <w:color w:val="404040" w:themeColor="text1" w:themeTint="BF"/>
                <w:sz w:val="17"/>
                <w:szCs w:val="17"/>
                <w:lang w:val="es-MX"/>
              </w:rPr>
            </w:pPr>
            <w:r w:rsidRPr="00296E53">
              <w:rPr>
                <w:rFonts w:ascii="Century Gothic" w:hAnsi="Century Gothic"/>
                <w:color w:val="404040" w:themeColor="text1" w:themeTint="BF"/>
                <w:sz w:val="17"/>
                <w:szCs w:val="17"/>
                <w:lang w:val="es-MX"/>
              </w:rPr>
              <w:t>100% de los programas del INEGI incluye</w:t>
            </w:r>
            <w:r w:rsidR="00603913">
              <w:rPr>
                <w:rFonts w:ascii="Century Gothic" w:hAnsi="Century Gothic"/>
                <w:color w:val="404040" w:themeColor="text1" w:themeTint="BF"/>
                <w:sz w:val="17"/>
                <w:szCs w:val="17"/>
                <w:lang w:val="es-MX"/>
              </w:rPr>
              <w:t>n</w:t>
            </w:r>
            <w:r w:rsidRPr="00296E53">
              <w:rPr>
                <w:rFonts w:ascii="Century Gothic" w:hAnsi="Century Gothic"/>
                <w:color w:val="404040" w:themeColor="text1" w:themeTint="BF"/>
                <w:sz w:val="17"/>
                <w:szCs w:val="17"/>
                <w:lang w:val="es-MX"/>
              </w:rPr>
              <w:t xml:space="preserve"> en sus metadatos indicadores de calidad. </w:t>
            </w:r>
          </w:p>
          <w:p w14:paraId="1847CA4B" w14:textId="77777777" w:rsidR="0021655A" w:rsidRPr="00296E53" w:rsidRDefault="00E1363A" w:rsidP="004C2C1D">
            <w:pPr>
              <w:pStyle w:val="Prrafodelista"/>
              <w:numPr>
                <w:ilvl w:val="0"/>
                <w:numId w:val="15"/>
              </w:numPr>
              <w:spacing w:after="120"/>
              <w:ind w:left="181" w:hanging="181"/>
              <w:jc w:val="both"/>
              <w:rPr>
                <w:rFonts w:ascii="Century Gothic" w:hAnsi="Century Gothic"/>
                <w:sz w:val="17"/>
                <w:szCs w:val="17"/>
              </w:rPr>
            </w:pPr>
            <w:r w:rsidRPr="00296E53">
              <w:rPr>
                <w:rFonts w:ascii="Century Gothic" w:hAnsi="Century Gothic"/>
                <w:color w:val="404040" w:themeColor="text1" w:themeTint="BF"/>
                <w:sz w:val="17"/>
                <w:szCs w:val="17"/>
              </w:rPr>
              <w:t>Existe un catálogo de evaluaciones para el 100% de los tipos de programas de información</w:t>
            </w:r>
          </w:p>
        </w:tc>
      </w:tr>
      <w:tr w:rsidR="0021655A" w:rsidRPr="00296E53" w14:paraId="24AB6463" w14:textId="77777777" w:rsidTr="00E1363A">
        <w:tc>
          <w:tcPr>
            <w:tcW w:w="2977" w:type="dxa"/>
            <w:shd w:val="clear" w:color="auto" w:fill="C5EAFF"/>
            <w:vAlign w:val="center"/>
          </w:tcPr>
          <w:p w14:paraId="4A6FAD0C" w14:textId="77777777" w:rsidR="0021655A" w:rsidRPr="00296E53" w:rsidRDefault="0021655A" w:rsidP="0021655A">
            <w:pPr>
              <w:rPr>
                <w:rFonts w:ascii="Century Gothic" w:hAnsi="Century Gothic"/>
                <w:sz w:val="17"/>
                <w:szCs w:val="17"/>
              </w:rPr>
            </w:pPr>
            <w:r w:rsidRPr="00296E53">
              <w:rPr>
                <w:rFonts w:ascii="Century Gothic" w:hAnsi="Century Gothic"/>
                <w:sz w:val="17"/>
                <w:szCs w:val="17"/>
              </w:rPr>
              <w:t>3. Desarrollar protocolos para medir y documentar el impacto de las mejoras</w:t>
            </w:r>
          </w:p>
        </w:tc>
        <w:tc>
          <w:tcPr>
            <w:tcW w:w="7813" w:type="dxa"/>
            <w:shd w:val="clear" w:color="auto" w:fill="C5EAFF"/>
            <w:vAlign w:val="center"/>
          </w:tcPr>
          <w:p w14:paraId="394E7B74" w14:textId="151B0440" w:rsidR="00E1363A" w:rsidRPr="00296E53" w:rsidRDefault="00E1363A" w:rsidP="004C2C1D">
            <w:pPr>
              <w:pStyle w:val="Default"/>
              <w:numPr>
                <w:ilvl w:val="0"/>
                <w:numId w:val="15"/>
              </w:numPr>
              <w:spacing w:after="120"/>
              <w:ind w:left="181" w:hanging="181"/>
              <w:rPr>
                <w:rFonts w:ascii="Century Gothic" w:hAnsi="Century Gothic"/>
                <w:color w:val="404040" w:themeColor="text1" w:themeTint="BF"/>
                <w:sz w:val="17"/>
                <w:szCs w:val="17"/>
                <w:lang w:val="es-MX"/>
              </w:rPr>
            </w:pPr>
            <w:r w:rsidRPr="00296E53">
              <w:rPr>
                <w:rFonts w:ascii="Century Gothic" w:hAnsi="Century Gothic"/>
                <w:color w:val="404040" w:themeColor="text1" w:themeTint="BF"/>
                <w:sz w:val="17"/>
                <w:szCs w:val="17"/>
                <w:lang w:val="es-MX"/>
              </w:rPr>
              <w:t>100% de los programas del INEGI documentan sus mejoras a través del Sistema de Seguimiento de Cambios (P</w:t>
            </w:r>
            <w:r w:rsidR="008F4CC5" w:rsidRPr="00296E53">
              <w:rPr>
                <w:rFonts w:ascii="Century Gothic" w:hAnsi="Century Gothic"/>
                <w:color w:val="404040" w:themeColor="text1" w:themeTint="BF"/>
                <w:sz w:val="17"/>
                <w:szCs w:val="17"/>
                <w:lang w:val="es-MX"/>
              </w:rPr>
              <w:t>-</w:t>
            </w:r>
            <w:r w:rsidR="00E906FB" w:rsidRPr="00296E53">
              <w:rPr>
                <w:rFonts w:ascii="Century Gothic" w:hAnsi="Century Gothic"/>
                <w:color w:val="404040" w:themeColor="text1" w:themeTint="BF"/>
                <w:sz w:val="17"/>
                <w:szCs w:val="17"/>
                <w:lang w:val="es-MX"/>
              </w:rPr>
              <w:t>T</w:t>
            </w:r>
            <w:r w:rsidRPr="00296E53">
              <w:rPr>
                <w:rFonts w:ascii="Century Gothic" w:hAnsi="Century Gothic"/>
                <w:color w:val="404040" w:themeColor="text1" w:themeTint="BF"/>
                <w:sz w:val="17"/>
                <w:szCs w:val="17"/>
                <w:lang w:val="es-MX"/>
              </w:rPr>
              <w:t>racking).</w:t>
            </w:r>
          </w:p>
          <w:p w14:paraId="12E2DFAB" w14:textId="77777777" w:rsidR="0021655A" w:rsidRPr="00296E53" w:rsidRDefault="00E1363A" w:rsidP="004C2C1D">
            <w:pPr>
              <w:pStyle w:val="Prrafodelista"/>
              <w:numPr>
                <w:ilvl w:val="0"/>
                <w:numId w:val="15"/>
              </w:numPr>
              <w:spacing w:after="120"/>
              <w:ind w:left="181" w:hanging="181"/>
              <w:jc w:val="both"/>
              <w:rPr>
                <w:rFonts w:ascii="Century Gothic" w:hAnsi="Century Gothic"/>
                <w:sz w:val="17"/>
                <w:szCs w:val="17"/>
              </w:rPr>
            </w:pPr>
            <w:r w:rsidRPr="00296E53">
              <w:rPr>
                <w:rFonts w:ascii="Century Gothic" w:hAnsi="Century Gothic"/>
                <w:color w:val="404040" w:themeColor="text1" w:themeTint="BF"/>
                <w:sz w:val="17"/>
                <w:szCs w:val="17"/>
              </w:rPr>
              <w:t>Existen cursos de capacitación para el 100% de las iniciativas aprobadas por el Comité de Aseguramiento de la Calidad.</w:t>
            </w:r>
          </w:p>
        </w:tc>
      </w:tr>
    </w:tbl>
    <w:p w14:paraId="5E36E575" w14:textId="77777777" w:rsidR="0021655A" w:rsidRPr="00296E53" w:rsidRDefault="0021655A" w:rsidP="00734130">
      <w:pPr>
        <w:spacing w:after="120"/>
        <w:jc w:val="both"/>
        <w:rPr>
          <w:rFonts w:ascii="Century Gothic" w:hAnsi="Century Gothic"/>
          <w:sz w:val="19"/>
          <w:szCs w:val="19"/>
        </w:rPr>
      </w:pPr>
    </w:p>
    <w:p w14:paraId="14F0725F" w14:textId="29D17F48" w:rsidR="000B0A3D" w:rsidRPr="00296E53" w:rsidRDefault="00B367B9" w:rsidP="000B0A3D">
      <w:pPr>
        <w:jc w:val="both"/>
        <w:rPr>
          <w:rFonts w:ascii="Century Gothic" w:hAnsi="Century Gothic"/>
          <w:sz w:val="19"/>
          <w:szCs w:val="19"/>
        </w:rPr>
      </w:pPr>
      <w:r w:rsidRPr="00296E53">
        <w:rPr>
          <w:rFonts w:ascii="Century Gothic" w:hAnsi="Century Gothic"/>
          <w:sz w:val="19"/>
          <w:szCs w:val="19"/>
        </w:rPr>
        <w:t xml:space="preserve">El </w:t>
      </w:r>
      <w:r w:rsidR="000A711D" w:rsidRPr="00296E53">
        <w:rPr>
          <w:rFonts w:ascii="Century Gothic" w:hAnsi="Century Gothic"/>
          <w:sz w:val="19"/>
          <w:szCs w:val="19"/>
        </w:rPr>
        <w:t>presente informe incluye los principales resultados</w:t>
      </w:r>
      <w:r w:rsidR="00F14B0B" w:rsidRPr="00296E53">
        <w:rPr>
          <w:rFonts w:ascii="Century Gothic" w:hAnsi="Century Gothic"/>
          <w:sz w:val="19"/>
          <w:szCs w:val="19"/>
        </w:rPr>
        <w:t xml:space="preserve"> relacionados con </w:t>
      </w:r>
      <w:r w:rsidRPr="00296E53">
        <w:rPr>
          <w:rFonts w:ascii="Century Gothic" w:hAnsi="Century Gothic"/>
          <w:sz w:val="19"/>
          <w:szCs w:val="19"/>
        </w:rPr>
        <w:t>estas</w:t>
      </w:r>
      <w:r w:rsidR="00F14B0B" w:rsidRPr="00296E53">
        <w:rPr>
          <w:rFonts w:ascii="Century Gothic" w:hAnsi="Century Gothic"/>
          <w:sz w:val="19"/>
          <w:szCs w:val="19"/>
        </w:rPr>
        <w:t xml:space="preserve"> metas</w:t>
      </w:r>
      <w:r w:rsidRPr="00296E53">
        <w:rPr>
          <w:rFonts w:ascii="Century Gothic" w:hAnsi="Century Gothic"/>
          <w:sz w:val="19"/>
          <w:szCs w:val="19"/>
        </w:rPr>
        <w:t>, que representan una continuidad de los trabajos que se han venido realizando en el Comité desde su creación en 2015</w:t>
      </w:r>
      <w:r w:rsidR="00F14B0B" w:rsidRPr="00296E53">
        <w:rPr>
          <w:rFonts w:ascii="Century Gothic" w:hAnsi="Century Gothic"/>
          <w:sz w:val="19"/>
          <w:szCs w:val="19"/>
        </w:rPr>
        <w:t xml:space="preserve">. Los resultados resumen los avances a partir de las actividades establecidas </w:t>
      </w:r>
      <w:r w:rsidR="00D5464C" w:rsidRPr="00296E53">
        <w:rPr>
          <w:rFonts w:ascii="Century Gothic" w:hAnsi="Century Gothic"/>
          <w:sz w:val="19"/>
          <w:szCs w:val="19"/>
        </w:rPr>
        <w:t xml:space="preserve">en </w:t>
      </w:r>
      <w:r w:rsidRPr="00296E53">
        <w:rPr>
          <w:rFonts w:ascii="Century Gothic" w:hAnsi="Century Gothic"/>
          <w:sz w:val="19"/>
          <w:szCs w:val="19"/>
        </w:rPr>
        <w:t>e</w:t>
      </w:r>
      <w:r w:rsidR="00F14B0B" w:rsidRPr="00296E53">
        <w:rPr>
          <w:rFonts w:ascii="Century Gothic" w:hAnsi="Century Gothic"/>
          <w:sz w:val="19"/>
          <w:szCs w:val="19"/>
        </w:rPr>
        <w:t xml:space="preserve">l </w:t>
      </w:r>
      <w:r w:rsidR="000A711D" w:rsidRPr="00296E53">
        <w:rPr>
          <w:rFonts w:ascii="Century Gothic" w:hAnsi="Century Gothic"/>
          <w:sz w:val="19"/>
          <w:szCs w:val="19"/>
        </w:rPr>
        <w:t xml:space="preserve">Programa Anual de Aseguramiento de la Calidad </w:t>
      </w:r>
      <w:r w:rsidRPr="00296E53">
        <w:rPr>
          <w:rFonts w:ascii="Century Gothic" w:hAnsi="Century Gothic"/>
          <w:sz w:val="19"/>
          <w:szCs w:val="19"/>
        </w:rPr>
        <w:t>Institucional 2020</w:t>
      </w:r>
      <w:r w:rsidR="00F01295">
        <w:rPr>
          <w:rFonts w:ascii="Century Gothic" w:hAnsi="Century Gothic"/>
          <w:sz w:val="19"/>
          <w:szCs w:val="19"/>
        </w:rPr>
        <w:t>,</w:t>
      </w:r>
      <w:r w:rsidRPr="00296E53">
        <w:rPr>
          <w:rFonts w:ascii="Century Gothic" w:hAnsi="Century Gothic"/>
          <w:sz w:val="19"/>
          <w:szCs w:val="19"/>
        </w:rPr>
        <w:t xml:space="preserve"> </w:t>
      </w:r>
      <w:r w:rsidR="00CA1711" w:rsidRPr="00296E53">
        <w:rPr>
          <w:rFonts w:ascii="Century Gothic" w:hAnsi="Century Gothic"/>
          <w:sz w:val="19"/>
          <w:szCs w:val="19"/>
        </w:rPr>
        <w:t>así como</w:t>
      </w:r>
      <w:r w:rsidRPr="00296E53">
        <w:rPr>
          <w:rFonts w:ascii="Century Gothic" w:hAnsi="Century Gothic"/>
          <w:sz w:val="19"/>
          <w:szCs w:val="19"/>
        </w:rPr>
        <w:t xml:space="preserve"> las </w:t>
      </w:r>
      <w:r w:rsidR="00CA1711" w:rsidRPr="00296E53">
        <w:rPr>
          <w:rFonts w:ascii="Century Gothic" w:hAnsi="Century Gothic"/>
          <w:sz w:val="19"/>
          <w:szCs w:val="19"/>
        </w:rPr>
        <w:t>tareas</w:t>
      </w:r>
      <w:r w:rsidRPr="00296E53">
        <w:rPr>
          <w:rFonts w:ascii="Century Gothic" w:hAnsi="Century Gothic"/>
          <w:sz w:val="19"/>
          <w:szCs w:val="19"/>
        </w:rPr>
        <w:t xml:space="preserve"> generadas a partir de los acuerdos del Comité.  Cabe señalar que estas actividades fueron registradas por cada una de las Unidades Administrativas en el PAEG, y los resultados particulares pueden consultarse en el </w:t>
      </w:r>
      <w:r w:rsidR="00732387" w:rsidRPr="00296E53">
        <w:rPr>
          <w:rFonts w:ascii="Century Gothic" w:hAnsi="Century Gothic"/>
          <w:sz w:val="19"/>
          <w:szCs w:val="19"/>
        </w:rPr>
        <w:t>i</w:t>
      </w:r>
      <w:r w:rsidRPr="00296E53">
        <w:rPr>
          <w:rFonts w:ascii="Century Gothic" w:hAnsi="Century Gothic"/>
          <w:sz w:val="19"/>
          <w:szCs w:val="19"/>
        </w:rPr>
        <w:t>nforme</w:t>
      </w:r>
      <w:r w:rsidR="00732387" w:rsidRPr="00296E53">
        <w:rPr>
          <w:rFonts w:ascii="Century Gothic" w:hAnsi="Century Gothic"/>
          <w:sz w:val="19"/>
          <w:szCs w:val="19"/>
        </w:rPr>
        <w:t xml:space="preserve"> respectivo</w:t>
      </w:r>
      <w:r w:rsidR="004D3A8B" w:rsidRPr="00296E53">
        <w:rPr>
          <w:rStyle w:val="Refdenotaalpie"/>
          <w:rFonts w:ascii="Century Gothic" w:hAnsi="Century Gothic"/>
          <w:sz w:val="19"/>
          <w:szCs w:val="19"/>
        </w:rPr>
        <w:footnoteReference w:id="3"/>
      </w:r>
      <w:r w:rsidR="000A711D" w:rsidRPr="00296E53">
        <w:rPr>
          <w:rFonts w:ascii="Century Gothic" w:hAnsi="Century Gothic"/>
          <w:sz w:val="19"/>
          <w:szCs w:val="19"/>
        </w:rPr>
        <w:t>.</w:t>
      </w:r>
      <w:r w:rsidR="00D91DC8" w:rsidRPr="00296E53">
        <w:rPr>
          <w:rFonts w:ascii="Century Gothic" w:hAnsi="Century Gothic"/>
          <w:sz w:val="19"/>
          <w:szCs w:val="19"/>
        </w:rPr>
        <w:t xml:space="preserve"> En los anexos se detallan los resultados de los indicadores de calidad aprobados por el Comité.</w:t>
      </w:r>
      <w:r w:rsidR="006F3A2F" w:rsidRPr="00296E53">
        <w:rPr>
          <w:rFonts w:ascii="Century Gothic" w:hAnsi="Century Gothic"/>
          <w:sz w:val="19"/>
          <w:szCs w:val="19"/>
        </w:rPr>
        <w:t xml:space="preserve"> </w:t>
      </w:r>
      <w:r w:rsidR="00371DD2" w:rsidRPr="00296E53">
        <w:rPr>
          <w:rFonts w:ascii="Century Gothic" w:hAnsi="Century Gothic"/>
          <w:sz w:val="19"/>
          <w:szCs w:val="19"/>
        </w:rPr>
        <w:t xml:space="preserve">Este documento estará disponible para el </w:t>
      </w:r>
      <w:r w:rsidR="006F3A2F" w:rsidRPr="00296E53">
        <w:rPr>
          <w:rFonts w:ascii="Century Gothic" w:hAnsi="Century Gothic"/>
          <w:sz w:val="19"/>
          <w:szCs w:val="19"/>
        </w:rPr>
        <w:t>personal del INEGI a través del sitio de intranet</w:t>
      </w:r>
      <w:r w:rsidR="004D3A8B" w:rsidRPr="00296E53">
        <w:rPr>
          <w:rStyle w:val="Refdenotaalpie"/>
          <w:rFonts w:ascii="Century Gothic" w:hAnsi="Century Gothic"/>
          <w:sz w:val="19"/>
          <w:szCs w:val="19"/>
        </w:rPr>
        <w:footnoteReference w:id="4"/>
      </w:r>
      <w:r w:rsidR="006F3A2F" w:rsidRPr="00296E53">
        <w:rPr>
          <w:rFonts w:ascii="Century Gothic" w:hAnsi="Century Gothic"/>
          <w:sz w:val="19"/>
          <w:szCs w:val="19"/>
        </w:rPr>
        <w:t>.</w:t>
      </w:r>
      <w:r w:rsidR="000B0A3D" w:rsidRPr="00296E53">
        <w:rPr>
          <w:rFonts w:ascii="Century Gothic" w:hAnsi="Century Gothic"/>
          <w:sz w:val="19"/>
          <w:szCs w:val="19"/>
        </w:rPr>
        <w:br w:type="page"/>
      </w:r>
    </w:p>
    <w:tbl>
      <w:tblPr>
        <w:tblW w:w="12763" w:type="dxa"/>
        <w:tblInd w:w="-1139" w:type="dxa"/>
        <w:tblLook w:val="04A0" w:firstRow="1" w:lastRow="0" w:firstColumn="1" w:lastColumn="0" w:noHBand="0" w:noVBand="1"/>
      </w:tblPr>
      <w:tblGrid>
        <w:gridCol w:w="4820"/>
        <w:gridCol w:w="7943"/>
      </w:tblGrid>
      <w:tr w:rsidR="000B0A3D" w:rsidRPr="00296E53" w14:paraId="31810731" w14:textId="77777777" w:rsidTr="00F04F37">
        <w:trPr>
          <w:trHeight w:val="201"/>
        </w:trPr>
        <w:tc>
          <w:tcPr>
            <w:tcW w:w="12763" w:type="dxa"/>
            <w:gridSpan w:val="2"/>
            <w:shd w:val="clear" w:color="auto" w:fill="auto"/>
          </w:tcPr>
          <w:p w14:paraId="4B7A64FC" w14:textId="7C2909F1" w:rsidR="000B0A3D" w:rsidRPr="00296E53" w:rsidRDefault="0095690B" w:rsidP="00F04F37">
            <w:pPr>
              <w:pStyle w:val="Ttulo1"/>
              <w:spacing w:before="0"/>
              <w:ind w:left="4858"/>
              <w:jc w:val="center"/>
              <w:rPr>
                <w:rFonts w:cstheme="minorHAnsi"/>
                <w:b/>
                <w:bCs/>
                <w:color w:val="000000" w:themeColor="text1"/>
              </w:rPr>
            </w:pPr>
            <w:bookmarkStart w:id="1" w:name="_Toc65502219"/>
            <w:r w:rsidRPr="00296E53">
              <w:rPr>
                <w:rFonts w:cstheme="minorHAnsi"/>
                <w:b/>
                <w:bCs/>
                <w:color w:val="0079BF"/>
                <w:sz w:val="36"/>
                <w:szCs w:val="36"/>
              </w:rPr>
              <w:t>CONTEXTO COVID -19</w:t>
            </w:r>
            <w:bookmarkEnd w:id="1"/>
          </w:p>
        </w:tc>
      </w:tr>
      <w:tr w:rsidR="000B0A3D" w:rsidRPr="00296E53" w14:paraId="629F7589" w14:textId="77777777" w:rsidTr="00F04F37">
        <w:trPr>
          <w:trHeight w:val="201"/>
        </w:trPr>
        <w:tc>
          <w:tcPr>
            <w:tcW w:w="4820" w:type="dxa"/>
            <w:shd w:val="clear" w:color="auto" w:fill="1F3864" w:themeFill="accent5" w:themeFillShade="80"/>
          </w:tcPr>
          <w:p w14:paraId="3DFDAF01" w14:textId="77777777" w:rsidR="000B0A3D" w:rsidRPr="00296E53" w:rsidRDefault="000B0A3D" w:rsidP="00F04F37">
            <w:pPr>
              <w:rPr>
                <w:rFonts w:cstheme="minorHAnsi"/>
                <w:color w:val="FFFFFF" w:themeColor="background1"/>
                <w:sz w:val="2"/>
                <w:szCs w:val="18"/>
              </w:rPr>
            </w:pPr>
          </w:p>
        </w:tc>
        <w:tc>
          <w:tcPr>
            <w:tcW w:w="7943" w:type="dxa"/>
            <w:shd w:val="clear" w:color="auto" w:fill="auto"/>
          </w:tcPr>
          <w:p w14:paraId="482F88C9" w14:textId="77777777" w:rsidR="000B0A3D" w:rsidRPr="00296E53" w:rsidRDefault="000B0A3D" w:rsidP="00F04F37">
            <w:pPr>
              <w:rPr>
                <w:rFonts w:cstheme="minorHAnsi"/>
                <w:color w:val="FFFFFF" w:themeColor="background1"/>
                <w:sz w:val="2"/>
                <w:szCs w:val="18"/>
              </w:rPr>
            </w:pPr>
          </w:p>
        </w:tc>
      </w:tr>
      <w:tr w:rsidR="000B0A3D" w:rsidRPr="00296E53" w14:paraId="7A9077DB" w14:textId="77777777" w:rsidTr="00F04F37">
        <w:trPr>
          <w:trHeight w:val="201"/>
        </w:trPr>
        <w:tc>
          <w:tcPr>
            <w:tcW w:w="4820" w:type="dxa"/>
            <w:shd w:val="clear" w:color="auto" w:fill="0079BF"/>
          </w:tcPr>
          <w:p w14:paraId="1A6D05E7" w14:textId="77777777" w:rsidR="000B0A3D" w:rsidRPr="00296E53" w:rsidRDefault="000B0A3D" w:rsidP="00F04F37">
            <w:pPr>
              <w:rPr>
                <w:rFonts w:cstheme="minorHAnsi"/>
                <w:color w:val="FFFFFF" w:themeColor="background1"/>
                <w:sz w:val="2"/>
                <w:szCs w:val="18"/>
              </w:rPr>
            </w:pPr>
          </w:p>
        </w:tc>
        <w:tc>
          <w:tcPr>
            <w:tcW w:w="7943" w:type="dxa"/>
            <w:shd w:val="clear" w:color="auto" w:fill="0079BF"/>
          </w:tcPr>
          <w:p w14:paraId="63882F6E" w14:textId="77777777" w:rsidR="000B0A3D" w:rsidRPr="00296E53" w:rsidRDefault="000B0A3D" w:rsidP="00F04F37">
            <w:pPr>
              <w:rPr>
                <w:rFonts w:cstheme="minorHAnsi"/>
                <w:color w:val="FFFFFF" w:themeColor="background1"/>
                <w:sz w:val="2"/>
                <w:szCs w:val="18"/>
              </w:rPr>
            </w:pPr>
          </w:p>
        </w:tc>
      </w:tr>
    </w:tbl>
    <w:p w14:paraId="087FFE4A" w14:textId="604AA698" w:rsidR="00051413" w:rsidRDefault="00565781" w:rsidP="001309D8">
      <w:pPr>
        <w:jc w:val="both"/>
        <w:rPr>
          <w:rFonts w:ascii="Century Gothic" w:hAnsi="Century Gothic"/>
          <w:sz w:val="19"/>
          <w:szCs w:val="19"/>
        </w:rPr>
      </w:pPr>
      <w:r w:rsidRPr="00565781">
        <w:rPr>
          <w:rFonts w:ascii="Century Gothic" w:hAnsi="Century Gothic"/>
          <w:sz w:val="10"/>
          <w:szCs w:val="10"/>
        </w:rPr>
        <w:br/>
      </w:r>
      <w:r w:rsidR="00CE42CA" w:rsidRPr="00296E53">
        <w:rPr>
          <w:rFonts w:ascii="Century Gothic" w:hAnsi="Century Gothic"/>
          <w:sz w:val="19"/>
          <w:szCs w:val="19"/>
        </w:rPr>
        <w:t>La crisis sanitaria provocada por el COVID-19 tuvo un impacto sin precedentes a nivel mundial.</w:t>
      </w:r>
      <w:r w:rsidR="00F04F37" w:rsidRPr="00296E53">
        <w:rPr>
          <w:rFonts w:ascii="Century Gothic" w:hAnsi="Century Gothic"/>
          <w:sz w:val="19"/>
          <w:szCs w:val="19"/>
        </w:rPr>
        <w:t xml:space="preserve"> Entre las medidas extraordinarias decretadas por el gobierno federal y publicadas en el Diario Oficial de la Federación el 31 de marzo del 2020 se encontraba la suspensión de todos los censos y encuestas que involucraban la movilización de personas y la interacción física (cara a cara) en el territorio nacional</w:t>
      </w:r>
      <w:r w:rsidR="005059CF" w:rsidRPr="00296E53">
        <w:rPr>
          <w:rFonts w:ascii="Century Gothic" w:hAnsi="Century Gothic"/>
          <w:sz w:val="19"/>
          <w:szCs w:val="19"/>
        </w:rPr>
        <w:t xml:space="preserve">. </w:t>
      </w:r>
      <w:r w:rsidR="00A265DA" w:rsidRPr="00296E53">
        <w:rPr>
          <w:rFonts w:ascii="Century Gothic" w:hAnsi="Century Gothic"/>
          <w:sz w:val="19"/>
          <w:szCs w:val="19"/>
        </w:rPr>
        <w:t xml:space="preserve">La consecuencia inmediata de esta medida fue la cancelación de 7 programas de información y la reprogramación de publicaciones correspondientes a otros 10.  </w:t>
      </w:r>
    </w:p>
    <w:p w14:paraId="5BD8AD82" w14:textId="674293CE" w:rsidR="00051413" w:rsidRDefault="00051413" w:rsidP="001309D8">
      <w:pPr>
        <w:jc w:val="both"/>
        <w:rPr>
          <w:rFonts w:ascii="Century Gothic" w:hAnsi="Century Gothic"/>
          <w:sz w:val="19"/>
          <w:szCs w:val="19"/>
        </w:rPr>
      </w:pPr>
      <w:r w:rsidRPr="00051413">
        <w:rPr>
          <w:rFonts w:ascii="Century Gothic" w:hAnsi="Century Gothic"/>
          <w:sz w:val="19"/>
          <w:szCs w:val="19"/>
        </w:rPr>
        <w:t xml:space="preserve">A efecto de mantener informados </w:t>
      </w:r>
      <w:r w:rsidR="00C840A6" w:rsidRPr="00051413">
        <w:rPr>
          <w:rFonts w:ascii="Century Gothic" w:hAnsi="Century Gothic"/>
          <w:sz w:val="19"/>
          <w:szCs w:val="19"/>
        </w:rPr>
        <w:t xml:space="preserve">a los usuarios </w:t>
      </w:r>
      <w:r w:rsidRPr="00051413">
        <w:rPr>
          <w:rFonts w:ascii="Century Gothic" w:hAnsi="Century Gothic"/>
          <w:sz w:val="19"/>
          <w:szCs w:val="19"/>
        </w:rPr>
        <w:t xml:space="preserve">de manera amplia y transparente </w:t>
      </w:r>
      <w:r w:rsidR="00C840A6">
        <w:rPr>
          <w:rFonts w:ascii="Century Gothic" w:hAnsi="Century Gothic"/>
          <w:sz w:val="19"/>
          <w:szCs w:val="19"/>
        </w:rPr>
        <w:t xml:space="preserve">respecto </w:t>
      </w:r>
      <w:r w:rsidRPr="00051413">
        <w:rPr>
          <w:rFonts w:ascii="Century Gothic" w:hAnsi="Century Gothic"/>
          <w:sz w:val="19"/>
          <w:szCs w:val="19"/>
        </w:rPr>
        <w:t>de los cambios que INEGI efectuó en los programas de información y sus productos, así como en el calendario de difusión, el Instituto puso a disposición un sitio en la página oficial del Instituto</w:t>
      </w:r>
      <w:r w:rsidR="00F01295">
        <w:rPr>
          <w:rFonts w:ascii="Century Gothic" w:hAnsi="Century Gothic"/>
          <w:sz w:val="19"/>
          <w:szCs w:val="19"/>
        </w:rPr>
        <w:t>:</w:t>
      </w:r>
      <w:r w:rsidRPr="00051413">
        <w:rPr>
          <w:rFonts w:ascii="Century Gothic" w:hAnsi="Century Gothic"/>
          <w:sz w:val="19"/>
          <w:szCs w:val="19"/>
        </w:rPr>
        <w:t xml:space="preserve"> </w:t>
      </w:r>
      <w:r w:rsidRPr="00C840A6">
        <w:rPr>
          <w:rFonts w:ascii="Century Gothic" w:hAnsi="Century Gothic"/>
          <w:b/>
          <w:bCs/>
          <w:sz w:val="19"/>
          <w:szCs w:val="19"/>
        </w:rPr>
        <w:t>Perspectiva en cifras COVID 19</w:t>
      </w:r>
      <w:r w:rsidRPr="00051413">
        <w:rPr>
          <w:rFonts w:ascii="Century Gothic" w:hAnsi="Century Gothic"/>
          <w:sz w:val="19"/>
          <w:szCs w:val="19"/>
        </w:rPr>
        <w:t>. En este sitio se detallaron las afectaciones en los programas, sus implicaciones en los diseños originales y, en cada caso, las aclaraciones a los usuarios respecto de las implicaciones derivadas de limitaciones en la captura de información y cualquier evento que afectó las condiciones habituales bajo las cuales INEGI entrega la información a los usuarios. En el sitio también se presentaron los métodos alternativos de generación de información y sus características, así como programas especiales implementados para la medición de impactos derivados de la pandemia y diversas herramientas para la visualización de la información.</w:t>
      </w:r>
      <w:r w:rsidR="008763FD">
        <w:rPr>
          <w:rFonts w:ascii="Century Gothic" w:hAnsi="Century Gothic"/>
          <w:sz w:val="19"/>
          <w:szCs w:val="19"/>
        </w:rPr>
        <w:t xml:space="preserve"> </w:t>
      </w:r>
      <w:r w:rsidRPr="00051413">
        <w:rPr>
          <w:rFonts w:ascii="Century Gothic" w:hAnsi="Century Gothic"/>
          <w:sz w:val="19"/>
          <w:szCs w:val="19"/>
        </w:rPr>
        <w:t>El significativo esfuerzo realizado por las áreas productoras y de divulgación del Instituto permitió mantener la mayoría de los flujos de información y ofrecer importantes complementos para comprender mejor la circunstancia por la que aún ahora atravesamos; sin embargo, como se verá más adelante, estas cancelaciones y reprogramaciones tuvieron efectos en la oportunidad y puntualidad con la que se publica la información.</w:t>
      </w:r>
    </w:p>
    <w:p w14:paraId="6E2813E0" w14:textId="24E78259" w:rsidR="008E46CB" w:rsidRPr="00296E53" w:rsidRDefault="00051413" w:rsidP="003029A5">
      <w:pPr>
        <w:jc w:val="both"/>
        <w:rPr>
          <w:rFonts w:ascii="Century Gothic" w:hAnsi="Century Gothic"/>
          <w:sz w:val="19"/>
          <w:szCs w:val="19"/>
        </w:rPr>
      </w:pPr>
      <w:r>
        <w:rPr>
          <w:rFonts w:ascii="Century Gothic" w:hAnsi="Century Gothic"/>
          <w:sz w:val="19"/>
          <w:szCs w:val="19"/>
        </w:rPr>
        <w:t>E</w:t>
      </w:r>
      <w:r w:rsidR="00965EE5" w:rsidRPr="00296E53">
        <w:rPr>
          <w:rFonts w:ascii="Century Gothic" w:hAnsi="Century Gothic"/>
          <w:sz w:val="19"/>
          <w:szCs w:val="19"/>
        </w:rPr>
        <w:t>l</w:t>
      </w:r>
      <w:r w:rsidR="00CA5A87" w:rsidRPr="00296E53">
        <w:rPr>
          <w:rFonts w:ascii="Century Gothic" w:hAnsi="Century Gothic"/>
          <w:sz w:val="19"/>
          <w:szCs w:val="19"/>
        </w:rPr>
        <w:t xml:space="preserve"> compromiso institucional de proporcionar información relevante para la toma de decisiones </w:t>
      </w:r>
      <w:r w:rsidR="00965EE5" w:rsidRPr="00296E53">
        <w:rPr>
          <w:rFonts w:ascii="Century Gothic" w:hAnsi="Century Gothic"/>
          <w:sz w:val="19"/>
          <w:szCs w:val="19"/>
        </w:rPr>
        <w:t>llevó a la generación de 6 programas de información nuevos</w:t>
      </w:r>
      <w:r w:rsidR="00CE53C5">
        <w:rPr>
          <w:rFonts w:ascii="Century Gothic" w:hAnsi="Century Gothic"/>
          <w:sz w:val="19"/>
          <w:szCs w:val="19"/>
        </w:rPr>
        <w:t>,</w:t>
      </w:r>
      <w:r w:rsidR="00965EE5" w:rsidRPr="00296E53">
        <w:rPr>
          <w:rFonts w:ascii="Century Gothic" w:hAnsi="Century Gothic"/>
          <w:sz w:val="19"/>
          <w:szCs w:val="19"/>
        </w:rPr>
        <w:t xml:space="preserve"> tanto para </w:t>
      </w:r>
      <w:r w:rsidR="0026625E" w:rsidRPr="00296E53">
        <w:rPr>
          <w:rFonts w:ascii="Century Gothic" w:hAnsi="Century Gothic"/>
          <w:sz w:val="19"/>
          <w:szCs w:val="19"/>
        </w:rPr>
        <w:t>brindar</w:t>
      </w:r>
      <w:r w:rsidR="00965EE5" w:rsidRPr="00296E53">
        <w:rPr>
          <w:rFonts w:ascii="Century Gothic" w:hAnsi="Century Gothic"/>
          <w:sz w:val="19"/>
          <w:szCs w:val="19"/>
        </w:rPr>
        <w:t xml:space="preserve"> información relevante </w:t>
      </w:r>
      <w:r w:rsidR="008E46CB" w:rsidRPr="00296E53">
        <w:rPr>
          <w:rFonts w:ascii="Century Gothic" w:hAnsi="Century Gothic"/>
          <w:sz w:val="19"/>
          <w:szCs w:val="19"/>
        </w:rPr>
        <w:t>sobre</w:t>
      </w:r>
      <w:r w:rsidR="00965EE5" w:rsidRPr="00296E53">
        <w:rPr>
          <w:rFonts w:ascii="Century Gothic" w:hAnsi="Century Gothic"/>
          <w:sz w:val="19"/>
          <w:szCs w:val="19"/>
        </w:rPr>
        <w:t xml:space="preserve"> la pandemia como de sus efectos en la economía nacional. </w:t>
      </w:r>
      <w:r w:rsidR="006207E6" w:rsidRPr="00296E53">
        <w:rPr>
          <w:rFonts w:ascii="Century Gothic" w:hAnsi="Century Gothic"/>
          <w:sz w:val="19"/>
          <w:szCs w:val="19"/>
        </w:rPr>
        <w:t xml:space="preserve"> </w:t>
      </w:r>
      <w:r w:rsidR="008E46CB" w:rsidRPr="00296E53">
        <w:rPr>
          <w:rFonts w:ascii="Century Gothic" w:hAnsi="Century Gothic"/>
          <w:sz w:val="19"/>
          <w:szCs w:val="19"/>
        </w:rPr>
        <w:t xml:space="preserve">Para ello, se desarrollaron nuevas metodologías de captación para encuestas en hogares como son la Encuesta Telefónica de Ocupación y Empleo y la Encuesta Telefónica de Confianza al Consumidor.  Adicionalmente, se generaron </w:t>
      </w:r>
      <w:r w:rsidR="00CE53C5">
        <w:rPr>
          <w:rFonts w:ascii="Century Gothic" w:hAnsi="Century Gothic"/>
          <w:sz w:val="19"/>
          <w:szCs w:val="19"/>
        </w:rPr>
        <w:t>l</w:t>
      </w:r>
      <w:r w:rsidR="008E46CB" w:rsidRPr="00296E53">
        <w:rPr>
          <w:rFonts w:ascii="Century Gothic" w:hAnsi="Century Gothic"/>
          <w:sz w:val="19"/>
          <w:szCs w:val="19"/>
        </w:rPr>
        <w:t xml:space="preserve">a Encuesta sobre el Impacto Económico Generado por COVID-19 en las Empresas, </w:t>
      </w:r>
      <w:r w:rsidR="00CE53C5">
        <w:rPr>
          <w:rFonts w:ascii="Century Gothic" w:hAnsi="Century Gothic"/>
          <w:sz w:val="19"/>
          <w:szCs w:val="19"/>
        </w:rPr>
        <w:t>l</w:t>
      </w:r>
      <w:r w:rsidR="008E46CB" w:rsidRPr="00296E53">
        <w:rPr>
          <w:rFonts w:ascii="Century Gothic" w:hAnsi="Century Gothic"/>
          <w:sz w:val="19"/>
          <w:szCs w:val="19"/>
        </w:rPr>
        <w:t xml:space="preserve">a Encuesta Telefónica sobre COVID-19 y Mercado Laboral, </w:t>
      </w:r>
      <w:r w:rsidR="00CE53C5">
        <w:rPr>
          <w:rFonts w:ascii="Century Gothic" w:hAnsi="Century Gothic"/>
          <w:sz w:val="19"/>
          <w:szCs w:val="19"/>
        </w:rPr>
        <w:t>l</w:t>
      </w:r>
      <w:r w:rsidR="008E46CB" w:rsidRPr="00296E53">
        <w:rPr>
          <w:rFonts w:ascii="Century Gothic" w:hAnsi="Century Gothic"/>
          <w:sz w:val="19"/>
          <w:szCs w:val="19"/>
        </w:rPr>
        <w:t>a Encuesta Nacional de Agencias Funerarias ante COVID-19</w:t>
      </w:r>
      <w:r w:rsidR="00C15C57">
        <w:rPr>
          <w:rFonts w:ascii="Century Gothic" w:hAnsi="Century Gothic"/>
          <w:sz w:val="19"/>
          <w:szCs w:val="19"/>
        </w:rPr>
        <w:t xml:space="preserve">, La </w:t>
      </w:r>
      <w:r w:rsidR="00C15C57" w:rsidRPr="00C15C57">
        <w:rPr>
          <w:rFonts w:ascii="Century Gothic" w:hAnsi="Century Gothic"/>
          <w:sz w:val="19"/>
          <w:szCs w:val="19"/>
        </w:rPr>
        <w:t>Encuesta Telefónica sobre COVID-19 y Mercado Laboral (ECOVID-ML)</w:t>
      </w:r>
      <w:r w:rsidR="008E46CB" w:rsidRPr="00296E53">
        <w:rPr>
          <w:rFonts w:ascii="Century Gothic" w:hAnsi="Century Gothic"/>
          <w:sz w:val="19"/>
          <w:szCs w:val="19"/>
        </w:rPr>
        <w:t xml:space="preserve"> y</w:t>
      </w:r>
      <w:r w:rsidR="00C15C57">
        <w:rPr>
          <w:rFonts w:ascii="Century Gothic" w:hAnsi="Century Gothic"/>
          <w:sz w:val="19"/>
          <w:szCs w:val="19"/>
        </w:rPr>
        <w:t xml:space="preserve"> La </w:t>
      </w:r>
      <w:r w:rsidR="00C15C57" w:rsidRPr="00C15C57">
        <w:rPr>
          <w:rFonts w:ascii="Century Gothic" w:hAnsi="Century Gothic"/>
          <w:sz w:val="19"/>
          <w:szCs w:val="19"/>
        </w:rPr>
        <w:t>Recopilación de Información de los Cementerios Públicos en las Zonas Metropolitanas del País</w:t>
      </w:r>
      <w:r w:rsidR="008E46CB" w:rsidRPr="00296E53">
        <w:rPr>
          <w:rFonts w:ascii="Century Gothic" w:hAnsi="Century Gothic"/>
          <w:sz w:val="19"/>
          <w:szCs w:val="19"/>
        </w:rPr>
        <w:t xml:space="preserve"> la 2020.</w:t>
      </w:r>
      <w:r w:rsidR="003029A5" w:rsidRPr="00296E53">
        <w:rPr>
          <w:rFonts w:ascii="Century Gothic" w:hAnsi="Century Gothic"/>
          <w:sz w:val="19"/>
          <w:szCs w:val="19"/>
        </w:rPr>
        <w:t xml:space="preserve">  Si bien estos programas experimentales ayudaron a incrementar la oportunidad de la información, esto no se ve reflejado en dicho indicador puesto que éste se calcula a partir de los productos establecidos en el Calendario de Difusión de información estadística y geográfica y de Interés Nacional del INEGI.</w:t>
      </w:r>
    </w:p>
    <w:p w14:paraId="5BBC8D96" w14:textId="4563A134" w:rsidR="008E46CB" w:rsidRPr="00296E53" w:rsidRDefault="003029A5" w:rsidP="001309D8">
      <w:pPr>
        <w:jc w:val="both"/>
        <w:rPr>
          <w:rFonts w:ascii="Century Gothic" w:hAnsi="Century Gothic"/>
          <w:sz w:val="19"/>
          <w:szCs w:val="19"/>
        </w:rPr>
      </w:pPr>
      <w:r w:rsidRPr="00296E53">
        <w:rPr>
          <w:rFonts w:ascii="Century Gothic" w:hAnsi="Century Gothic"/>
          <w:sz w:val="19"/>
          <w:szCs w:val="19"/>
        </w:rPr>
        <w:t>Adicionalmente, p</w:t>
      </w:r>
      <w:r w:rsidR="008E46CB" w:rsidRPr="00296E53">
        <w:rPr>
          <w:rFonts w:ascii="Century Gothic" w:hAnsi="Century Gothic"/>
          <w:sz w:val="19"/>
          <w:szCs w:val="19"/>
        </w:rPr>
        <w:t>ara poder continuar proporcionando información nacional relevante</w:t>
      </w:r>
      <w:r w:rsidR="006207E6" w:rsidRPr="00296E53">
        <w:rPr>
          <w:rFonts w:ascii="Century Gothic" w:hAnsi="Century Gothic"/>
          <w:sz w:val="19"/>
          <w:szCs w:val="19"/>
        </w:rPr>
        <w:t>, se profundi</w:t>
      </w:r>
      <w:r w:rsidR="0026625E" w:rsidRPr="00296E53">
        <w:rPr>
          <w:rFonts w:ascii="Century Gothic" w:hAnsi="Century Gothic"/>
          <w:sz w:val="19"/>
          <w:szCs w:val="19"/>
        </w:rPr>
        <w:t>zaron los levantamientos vía remota en programas que ya utilizaban estos métodos como son las encuestas económicas y los índices de precios</w:t>
      </w:r>
      <w:r w:rsidRPr="00296E53">
        <w:rPr>
          <w:rFonts w:ascii="Century Gothic" w:hAnsi="Century Gothic"/>
          <w:sz w:val="19"/>
          <w:szCs w:val="19"/>
        </w:rPr>
        <w:t xml:space="preserve">. Los censos, encuestas y registros administrativos en hogares y gobierno también adecuaron la captación de información a las nuevas circunstancias. Así, en mayor o menor medida todos los programas del INEGI </w:t>
      </w:r>
      <w:r w:rsidR="00F76152" w:rsidRPr="00296E53">
        <w:rPr>
          <w:rFonts w:ascii="Century Gothic" w:hAnsi="Century Gothic"/>
          <w:sz w:val="19"/>
          <w:szCs w:val="19"/>
        </w:rPr>
        <w:t>debieron adecuarse a las circunstancias, en algunos casos impactando el diseño de los programas. Estos cambios se deberán reflejar en el Sistema de Seguimiento de Cambios que se ha desarrollado en el marco de este Comité.</w:t>
      </w:r>
    </w:p>
    <w:p w14:paraId="25903046" w14:textId="027D33B1" w:rsidR="008E46CB" w:rsidRPr="00296E53" w:rsidRDefault="00F76152" w:rsidP="001309D8">
      <w:pPr>
        <w:jc w:val="both"/>
        <w:rPr>
          <w:rFonts w:ascii="Century Gothic" w:hAnsi="Century Gothic"/>
          <w:sz w:val="19"/>
          <w:szCs w:val="19"/>
        </w:rPr>
      </w:pPr>
      <w:r w:rsidRPr="00296E53">
        <w:rPr>
          <w:rFonts w:ascii="Century Gothic" w:hAnsi="Century Gothic"/>
          <w:sz w:val="19"/>
          <w:szCs w:val="19"/>
        </w:rPr>
        <w:t>Como se detalla en los anexos de los indicadores de precisión de encuestas (probabilísticas y no probabilísticas</w:t>
      </w:r>
      <w:proofErr w:type="gramStart"/>
      <w:r w:rsidRPr="00296E53">
        <w:rPr>
          <w:rFonts w:ascii="Century Gothic" w:hAnsi="Century Gothic"/>
          <w:sz w:val="19"/>
          <w:szCs w:val="19"/>
        </w:rPr>
        <w:t>)</w:t>
      </w:r>
      <w:r w:rsidR="00673C2A">
        <w:rPr>
          <w:rFonts w:ascii="Century Gothic" w:hAnsi="Century Gothic"/>
          <w:sz w:val="19"/>
          <w:szCs w:val="19"/>
        </w:rPr>
        <w:t>,</w:t>
      </w:r>
      <w:r w:rsidRPr="00296E53">
        <w:rPr>
          <w:rFonts w:ascii="Century Gothic" w:hAnsi="Century Gothic"/>
          <w:sz w:val="19"/>
          <w:szCs w:val="19"/>
        </w:rPr>
        <w:t>se</w:t>
      </w:r>
      <w:proofErr w:type="gramEnd"/>
      <w:r w:rsidRPr="00296E53">
        <w:rPr>
          <w:rFonts w:ascii="Century Gothic" w:hAnsi="Century Gothic"/>
          <w:sz w:val="19"/>
          <w:szCs w:val="19"/>
        </w:rPr>
        <w:t xml:space="preserve"> observó un aumento de las tasas de no respuesta derivadas de la disminución en la disponibilidad de los informantes.  </w:t>
      </w:r>
      <w:r w:rsidR="00A84FAB">
        <w:rPr>
          <w:rFonts w:ascii="Century Gothic" w:hAnsi="Century Gothic"/>
          <w:sz w:val="19"/>
          <w:szCs w:val="19"/>
        </w:rPr>
        <w:t>Así mismo, c</w:t>
      </w:r>
      <w:r w:rsidRPr="00296E53">
        <w:rPr>
          <w:rFonts w:ascii="Century Gothic" w:hAnsi="Century Gothic"/>
          <w:sz w:val="19"/>
          <w:szCs w:val="19"/>
        </w:rPr>
        <w:t>on el fin de mantener la precisión estadística de la información se observ</w:t>
      </w:r>
      <w:r w:rsidR="00A84FAB">
        <w:rPr>
          <w:rFonts w:ascii="Century Gothic" w:hAnsi="Century Gothic"/>
          <w:sz w:val="19"/>
          <w:szCs w:val="19"/>
        </w:rPr>
        <w:t>ó</w:t>
      </w:r>
      <w:r w:rsidRPr="00296E53">
        <w:rPr>
          <w:rFonts w:ascii="Century Gothic" w:hAnsi="Century Gothic"/>
          <w:sz w:val="19"/>
          <w:szCs w:val="19"/>
        </w:rPr>
        <w:t xml:space="preserve"> un aumento en las tasas de imputación </w:t>
      </w:r>
      <w:r w:rsidR="006F68CB" w:rsidRPr="00296E53">
        <w:rPr>
          <w:rFonts w:ascii="Century Gothic" w:hAnsi="Century Gothic"/>
          <w:sz w:val="19"/>
          <w:szCs w:val="19"/>
        </w:rPr>
        <w:t xml:space="preserve">de las encuestas económicas </w:t>
      </w:r>
      <w:r w:rsidRPr="00296E53">
        <w:rPr>
          <w:rFonts w:ascii="Century Gothic" w:hAnsi="Century Gothic"/>
          <w:sz w:val="19"/>
          <w:szCs w:val="19"/>
        </w:rPr>
        <w:t xml:space="preserve">y una reducción en los </w:t>
      </w:r>
      <w:r w:rsidR="0090052A" w:rsidRPr="00296E53">
        <w:rPr>
          <w:rFonts w:ascii="Century Gothic" w:hAnsi="Century Gothic"/>
          <w:sz w:val="19"/>
          <w:szCs w:val="19"/>
        </w:rPr>
        <w:t>dominios de estudio publicados para los indicadores objetivo de los programas</w:t>
      </w:r>
      <w:r w:rsidR="006F68CB" w:rsidRPr="00296E53">
        <w:rPr>
          <w:rFonts w:ascii="Century Gothic" w:hAnsi="Century Gothic"/>
          <w:sz w:val="19"/>
          <w:szCs w:val="19"/>
        </w:rPr>
        <w:t xml:space="preserve"> en hogares</w:t>
      </w:r>
      <w:r w:rsidR="0090052A" w:rsidRPr="00296E53">
        <w:rPr>
          <w:rFonts w:ascii="Century Gothic" w:hAnsi="Century Gothic"/>
          <w:sz w:val="19"/>
          <w:szCs w:val="19"/>
        </w:rPr>
        <w:t xml:space="preserve">. </w:t>
      </w:r>
      <w:r w:rsidR="006F68CB" w:rsidRPr="00296E53">
        <w:rPr>
          <w:rFonts w:ascii="Century Gothic" w:hAnsi="Century Gothic"/>
          <w:sz w:val="19"/>
          <w:szCs w:val="19"/>
        </w:rPr>
        <w:t xml:space="preserve">Los </w:t>
      </w:r>
      <w:r w:rsidRPr="00296E53">
        <w:rPr>
          <w:rFonts w:ascii="Century Gothic" w:hAnsi="Century Gothic"/>
          <w:sz w:val="19"/>
          <w:szCs w:val="19"/>
        </w:rPr>
        <w:t xml:space="preserve">programas cuyo único insumo son registros administrativos </w:t>
      </w:r>
      <w:r w:rsidR="006F68CB" w:rsidRPr="00296E53">
        <w:rPr>
          <w:rFonts w:ascii="Century Gothic" w:hAnsi="Century Gothic"/>
          <w:sz w:val="19"/>
          <w:szCs w:val="19"/>
        </w:rPr>
        <w:t>tuvieron un comportamiento más estable en cuanto a las tasas de no respuesta, lo cual refleja algunas de las ventajas de este tipo de programas.  Destacan los casos de las Estadísticas de Defunciones Registradas y de Finanzas Públicas Estatales y Municipales que redujeron significativamente la no respuesta a nivel de unidad.</w:t>
      </w:r>
    </w:p>
    <w:p w14:paraId="7B0D9BE2" w14:textId="1834C859" w:rsidR="00E338CD" w:rsidRPr="00296E53" w:rsidRDefault="00AF4738" w:rsidP="001309D8">
      <w:pPr>
        <w:jc w:val="both"/>
        <w:rPr>
          <w:rFonts w:ascii="Century Gothic" w:hAnsi="Century Gothic"/>
        </w:rPr>
      </w:pPr>
      <w:r w:rsidRPr="00296E53">
        <w:rPr>
          <w:rFonts w:ascii="Century Gothic" w:hAnsi="Century Gothic"/>
          <w:sz w:val="19"/>
          <w:szCs w:val="19"/>
        </w:rPr>
        <w:t>De esta manera, los indicadores aprobados en este Comité resultan valiosos para ver de forma conjunta los efectos de la pandemia. Asimismo, se observa que es importante mantener los estándares que caracterizan a la Institución</w:t>
      </w:r>
      <w:r w:rsidR="00B0706A" w:rsidRPr="00296E53">
        <w:rPr>
          <w:rFonts w:ascii="Century Gothic" w:hAnsi="Century Gothic"/>
          <w:sz w:val="19"/>
          <w:szCs w:val="19"/>
        </w:rPr>
        <w:t xml:space="preserve"> y que contribuyen a la transparencia,</w:t>
      </w:r>
      <w:r w:rsidRPr="00296E53">
        <w:rPr>
          <w:rFonts w:ascii="Century Gothic" w:hAnsi="Century Gothic"/>
          <w:sz w:val="19"/>
          <w:szCs w:val="19"/>
        </w:rPr>
        <w:t xml:space="preserve"> incluso en situaciones de emergencia</w:t>
      </w:r>
      <w:r w:rsidR="00B0706A" w:rsidRPr="00296E53">
        <w:rPr>
          <w:rFonts w:ascii="Century Gothic" w:hAnsi="Century Gothic"/>
          <w:sz w:val="19"/>
          <w:szCs w:val="19"/>
        </w:rPr>
        <w:t>,</w:t>
      </w:r>
      <w:r w:rsidRPr="00296E53">
        <w:rPr>
          <w:rFonts w:ascii="Century Gothic" w:hAnsi="Century Gothic"/>
          <w:sz w:val="19"/>
          <w:szCs w:val="19"/>
        </w:rPr>
        <w:t xml:space="preserve"> como son la actualización del Calendario de Difusión y los metadatos.</w:t>
      </w:r>
      <w:r w:rsidR="00E338CD" w:rsidRPr="00296E53">
        <w:rPr>
          <w:rFonts w:ascii="Century Gothic" w:hAnsi="Century Gothic"/>
        </w:rPr>
        <w:br w:type="page"/>
      </w:r>
    </w:p>
    <w:tbl>
      <w:tblPr>
        <w:tblW w:w="12763" w:type="dxa"/>
        <w:tblInd w:w="-1139" w:type="dxa"/>
        <w:tblLook w:val="04A0" w:firstRow="1" w:lastRow="0" w:firstColumn="1" w:lastColumn="0" w:noHBand="0" w:noVBand="1"/>
      </w:tblPr>
      <w:tblGrid>
        <w:gridCol w:w="4820"/>
        <w:gridCol w:w="7943"/>
      </w:tblGrid>
      <w:tr w:rsidR="00E22190" w:rsidRPr="00296E53" w14:paraId="3B485C81" w14:textId="77777777" w:rsidTr="00546277">
        <w:trPr>
          <w:trHeight w:val="201"/>
        </w:trPr>
        <w:tc>
          <w:tcPr>
            <w:tcW w:w="12763" w:type="dxa"/>
            <w:gridSpan w:val="2"/>
            <w:shd w:val="clear" w:color="auto" w:fill="auto"/>
          </w:tcPr>
          <w:p w14:paraId="542219E6" w14:textId="77777777" w:rsidR="00E22190" w:rsidRPr="00296E53" w:rsidRDefault="00E22190" w:rsidP="00546277">
            <w:pPr>
              <w:pStyle w:val="Ttulo1"/>
              <w:spacing w:before="0"/>
              <w:ind w:left="4858"/>
              <w:jc w:val="center"/>
              <w:rPr>
                <w:rFonts w:cstheme="minorHAnsi"/>
                <w:b/>
                <w:bCs/>
                <w:color w:val="000000" w:themeColor="text1"/>
              </w:rPr>
            </w:pPr>
            <w:bookmarkStart w:id="2" w:name="_Toc65502220"/>
            <w:r w:rsidRPr="00296E53">
              <w:rPr>
                <w:rFonts w:cstheme="minorHAnsi"/>
                <w:b/>
                <w:bCs/>
                <w:color w:val="0079BF"/>
                <w:sz w:val="36"/>
                <w:szCs w:val="36"/>
              </w:rPr>
              <w:t>A</w:t>
            </w:r>
            <w:r w:rsidR="00BA3DC8" w:rsidRPr="00296E53">
              <w:rPr>
                <w:rFonts w:cstheme="minorHAnsi"/>
                <w:b/>
                <w:bCs/>
                <w:color w:val="0079BF"/>
                <w:sz w:val="36"/>
                <w:szCs w:val="36"/>
              </w:rPr>
              <w:t>CTUALIZA</w:t>
            </w:r>
            <w:r w:rsidR="00231BFC" w:rsidRPr="00296E53">
              <w:rPr>
                <w:rFonts w:cstheme="minorHAnsi"/>
                <w:b/>
                <w:bCs/>
                <w:color w:val="0079BF"/>
                <w:sz w:val="36"/>
                <w:szCs w:val="36"/>
              </w:rPr>
              <w:t>CIÓN NORMATIVA</w:t>
            </w:r>
            <w:bookmarkEnd w:id="2"/>
          </w:p>
        </w:tc>
      </w:tr>
      <w:tr w:rsidR="00E22190" w:rsidRPr="00296E53" w14:paraId="7C7BC8CE" w14:textId="77777777" w:rsidTr="00546277">
        <w:trPr>
          <w:trHeight w:val="201"/>
        </w:trPr>
        <w:tc>
          <w:tcPr>
            <w:tcW w:w="4820" w:type="dxa"/>
            <w:shd w:val="clear" w:color="auto" w:fill="1F3864" w:themeFill="accent5" w:themeFillShade="80"/>
          </w:tcPr>
          <w:p w14:paraId="6211936F" w14:textId="77777777" w:rsidR="00E22190" w:rsidRPr="00296E53" w:rsidRDefault="00E22190" w:rsidP="00546277">
            <w:pPr>
              <w:rPr>
                <w:rFonts w:cstheme="minorHAnsi"/>
                <w:color w:val="FFFFFF" w:themeColor="background1"/>
                <w:sz w:val="2"/>
                <w:szCs w:val="18"/>
              </w:rPr>
            </w:pPr>
          </w:p>
        </w:tc>
        <w:tc>
          <w:tcPr>
            <w:tcW w:w="7943" w:type="dxa"/>
            <w:shd w:val="clear" w:color="auto" w:fill="auto"/>
          </w:tcPr>
          <w:p w14:paraId="5751E99B" w14:textId="77777777" w:rsidR="00E22190" w:rsidRPr="00296E53" w:rsidRDefault="00E22190" w:rsidP="00546277">
            <w:pPr>
              <w:rPr>
                <w:rFonts w:cstheme="minorHAnsi"/>
                <w:color w:val="FFFFFF" w:themeColor="background1"/>
                <w:sz w:val="2"/>
                <w:szCs w:val="18"/>
              </w:rPr>
            </w:pPr>
          </w:p>
        </w:tc>
      </w:tr>
      <w:tr w:rsidR="00E22190" w:rsidRPr="00296E53" w14:paraId="00DFE398" w14:textId="77777777" w:rsidTr="00546277">
        <w:trPr>
          <w:trHeight w:val="201"/>
        </w:trPr>
        <w:tc>
          <w:tcPr>
            <w:tcW w:w="4820" w:type="dxa"/>
            <w:shd w:val="clear" w:color="auto" w:fill="0079BF"/>
          </w:tcPr>
          <w:p w14:paraId="33D37D73" w14:textId="77777777" w:rsidR="00E22190" w:rsidRPr="00296E53" w:rsidRDefault="00E22190" w:rsidP="00546277">
            <w:pPr>
              <w:rPr>
                <w:rFonts w:cstheme="minorHAnsi"/>
                <w:color w:val="FFFFFF" w:themeColor="background1"/>
                <w:sz w:val="2"/>
                <w:szCs w:val="18"/>
              </w:rPr>
            </w:pPr>
          </w:p>
        </w:tc>
        <w:tc>
          <w:tcPr>
            <w:tcW w:w="7943" w:type="dxa"/>
            <w:shd w:val="clear" w:color="auto" w:fill="0079BF"/>
          </w:tcPr>
          <w:p w14:paraId="53806CEF" w14:textId="77777777" w:rsidR="00E22190" w:rsidRPr="00296E53" w:rsidRDefault="00E22190" w:rsidP="00546277">
            <w:pPr>
              <w:rPr>
                <w:rFonts w:cstheme="minorHAnsi"/>
                <w:color w:val="FFFFFF" w:themeColor="background1"/>
                <w:sz w:val="2"/>
                <w:szCs w:val="18"/>
              </w:rPr>
            </w:pPr>
          </w:p>
        </w:tc>
      </w:tr>
    </w:tbl>
    <w:p w14:paraId="282AFEBC" w14:textId="77777777" w:rsidR="00B6291B" w:rsidRPr="00296E53" w:rsidRDefault="00B6291B" w:rsidP="004D352F">
      <w:pPr>
        <w:pStyle w:val="Ttulo1"/>
        <w:rPr>
          <w:rFonts w:ascii="Century Gothic" w:eastAsiaTheme="minorHAnsi" w:hAnsi="Century Gothic" w:cstheme="minorBidi"/>
          <w:b/>
          <w:color w:val="auto"/>
          <w:sz w:val="22"/>
          <w:szCs w:val="22"/>
        </w:rPr>
      </w:pPr>
      <w:bookmarkStart w:id="3" w:name="_Toc65502221"/>
      <w:r w:rsidRPr="00296E53">
        <w:rPr>
          <w:rFonts w:ascii="Century Gothic" w:eastAsiaTheme="minorHAnsi" w:hAnsi="Century Gothic" w:cstheme="minorBidi"/>
          <w:b/>
          <w:color w:val="auto"/>
          <w:sz w:val="22"/>
          <w:szCs w:val="22"/>
        </w:rPr>
        <w:t>Marco Conceptual</w:t>
      </w:r>
      <w:bookmarkEnd w:id="3"/>
    </w:p>
    <w:p w14:paraId="147B34D6" w14:textId="02D3B215" w:rsidR="007C1565" w:rsidRPr="00296E53" w:rsidRDefault="006871B8" w:rsidP="007C1565">
      <w:pPr>
        <w:spacing w:before="120" w:after="120"/>
        <w:jc w:val="both"/>
        <w:rPr>
          <w:rFonts w:ascii="Century Gothic" w:hAnsi="Century Gothic"/>
          <w:sz w:val="19"/>
          <w:szCs w:val="19"/>
        </w:rPr>
      </w:pPr>
      <w:r w:rsidRPr="00296E53">
        <w:rPr>
          <w:rFonts w:ascii="Century Gothic" w:hAnsi="Century Gothic"/>
          <w:sz w:val="19"/>
          <w:szCs w:val="19"/>
        </w:rPr>
        <w:t>A raíz de la actualización del Marco Nacional de Aseguramiento de la Calidad (</w:t>
      </w:r>
      <w:proofErr w:type="spellStart"/>
      <w:r w:rsidRPr="00296E53">
        <w:rPr>
          <w:rFonts w:ascii="Century Gothic" w:hAnsi="Century Gothic"/>
          <w:sz w:val="19"/>
          <w:szCs w:val="19"/>
        </w:rPr>
        <w:t>National</w:t>
      </w:r>
      <w:proofErr w:type="spellEnd"/>
      <w:r w:rsidRPr="00296E53">
        <w:rPr>
          <w:rFonts w:ascii="Century Gothic" w:hAnsi="Century Gothic"/>
          <w:sz w:val="19"/>
          <w:szCs w:val="19"/>
        </w:rPr>
        <w:t xml:space="preserve"> </w:t>
      </w:r>
      <w:proofErr w:type="spellStart"/>
      <w:r w:rsidRPr="00296E53">
        <w:rPr>
          <w:rFonts w:ascii="Century Gothic" w:hAnsi="Century Gothic"/>
          <w:sz w:val="19"/>
          <w:szCs w:val="19"/>
        </w:rPr>
        <w:t>Quality</w:t>
      </w:r>
      <w:proofErr w:type="spellEnd"/>
      <w:r w:rsidRPr="00296E53">
        <w:rPr>
          <w:rFonts w:ascii="Century Gothic" w:hAnsi="Century Gothic"/>
          <w:sz w:val="19"/>
          <w:szCs w:val="19"/>
        </w:rPr>
        <w:t xml:space="preserve"> </w:t>
      </w:r>
      <w:proofErr w:type="spellStart"/>
      <w:r w:rsidRPr="00296E53">
        <w:rPr>
          <w:rFonts w:ascii="Century Gothic" w:hAnsi="Century Gothic"/>
          <w:sz w:val="19"/>
          <w:szCs w:val="19"/>
        </w:rPr>
        <w:t>Assurance</w:t>
      </w:r>
      <w:proofErr w:type="spellEnd"/>
      <w:r w:rsidRPr="00296E53">
        <w:rPr>
          <w:rFonts w:ascii="Century Gothic" w:hAnsi="Century Gothic"/>
          <w:sz w:val="19"/>
          <w:szCs w:val="19"/>
        </w:rPr>
        <w:t xml:space="preserve"> </w:t>
      </w:r>
      <w:proofErr w:type="spellStart"/>
      <w:r w:rsidRPr="00296E53">
        <w:rPr>
          <w:rFonts w:ascii="Century Gothic" w:hAnsi="Century Gothic"/>
          <w:sz w:val="19"/>
          <w:szCs w:val="19"/>
        </w:rPr>
        <w:t>Frameworks</w:t>
      </w:r>
      <w:proofErr w:type="spellEnd"/>
      <w:r w:rsidRPr="00296E53">
        <w:rPr>
          <w:rFonts w:ascii="Century Gothic" w:hAnsi="Century Gothic"/>
          <w:sz w:val="19"/>
          <w:szCs w:val="19"/>
        </w:rPr>
        <w:t>, NQAF), aprobado en 2019 por la Comisión Estadística de las Naciones Unidas, se vio la necesidad de actualizar la normatividad del INEGI relacionada con el aseguramiento de la calidad</w:t>
      </w:r>
      <w:r w:rsidR="007C1565" w:rsidRPr="00296E53">
        <w:rPr>
          <w:rFonts w:ascii="Century Gothic" w:hAnsi="Century Gothic"/>
          <w:sz w:val="19"/>
          <w:szCs w:val="19"/>
        </w:rPr>
        <w:t xml:space="preserve">. </w:t>
      </w:r>
      <w:r w:rsidR="001F1DDA" w:rsidRPr="00296E53">
        <w:rPr>
          <w:rFonts w:ascii="Century Gothic" w:hAnsi="Century Gothic"/>
          <w:sz w:val="19"/>
          <w:szCs w:val="19"/>
        </w:rPr>
        <w:t xml:space="preserve">En primer lugar, se desarrolló el marco conceptual para establecer las bases de la nueva Norma para el Aseguramiento de la </w:t>
      </w:r>
      <w:r w:rsidR="00FA1EBC" w:rsidRPr="00296E53">
        <w:rPr>
          <w:rFonts w:ascii="Century Gothic" w:hAnsi="Century Gothic"/>
          <w:sz w:val="19"/>
          <w:szCs w:val="19"/>
        </w:rPr>
        <w:t>Calidad,</w:t>
      </w:r>
      <w:r w:rsidR="001F1DDA" w:rsidRPr="00296E53">
        <w:rPr>
          <w:rFonts w:ascii="Century Gothic" w:hAnsi="Century Gothic"/>
          <w:sz w:val="19"/>
          <w:szCs w:val="19"/>
        </w:rPr>
        <w:t xml:space="preserve"> así como </w:t>
      </w:r>
      <w:r w:rsidR="00D813AA" w:rsidRPr="00296E53">
        <w:rPr>
          <w:rFonts w:ascii="Century Gothic" w:hAnsi="Century Gothic"/>
          <w:sz w:val="19"/>
          <w:szCs w:val="19"/>
        </w:rPr>
        <w:t xml:space="preserve">de </w:t>
      </w:r>
      <w:r w:rsidR="001F1DDA" w:rsidRPr="00296E53">
        <w:rPr>
          <w:rFonts w:ascii="Century Gothic" w:hAnsi="Century Gothic"/>
          <w:sz w:val="19"/>
          <w:szCs w:val="19"/>
        </w:rPr>
        <w:t>los Principios y Directrices de Calidad.</w:t>
      </w:r>
    </w:p>
    <w:p w14:paraId="55A6C01C" w14:textId="77777777" w:rsidR="005838DC" w:rsidRPr="00296E53" w:rsidRDefault="005838DC" w:rsidP="005838DC">
      <w:pPr>
        <w:spacing w:after="120"/>
        <w:jc w:val="both"/>
        <w:rPr>
          <w:rFonts w:ascii="Century Gothic" w:hAnsi="Century Gothic" w:cs="Arial"/>
          <w:sz w:val="19"/>
          <w:szCs w:val="19"/>
        </w:rPr>
      </w:pPr>
      <w:r w:rsidRPr="00296E53">
        <w:rPr>
          <w:rFonts w:ascii="Century Gothic" w:hAnsi="Century Gothic" w:cs="Arial"/>
          <w:sz w:val="19"/>
          <w:szCs w:val="19"/>
        </w:rPr>
        <w:t>Con base en la experiencia internacional y la literatura sobre gestión de la calidad, el esquema integral para el aseguramiento de la calidad de la información estadística y geográfica incluye tres elementos:</w:t>
      </w:r>
    </w:p>
    <w:p w14:paraId="7924C381" w14:textId="487EC40C" w:rsidR="005838DC" w:rsidRPr="00296E53" w:rsidRDefault="005838DC" w:rsidP="004C2C1D">
      <w:pPr>
        <w:pStyle w:val="Prrafodelista"/>
        <w:numPr>
          <w:ilvl w:val="0"/>
          <w:numId w:val="16"/>
        </w:numPr>
        <w:ind w:left="284" w:hanging="284"/>
        <w:jc w:val="both"/>
        <w:rPr>
          <w:rFonts w:ascii="Century Gothic" w:hAnsi="Century Gothic" w:cs="Arial"/>
          <w:sz w:val="19"/>
          <w:szCs w:val="19"/>
        </w:rPr>
      </w:pPr>
      <w:r w:rsidRPr="00296E53">
        <w:rPr>
          <w:rFonts w:ascii="Century Gothic" w:hAnsi="Century Gothic" w:cs="Arial"/>
          <w:b/>
          <w:bCs/>
          <w:sz w:val="19"/>
          <w:szCs w:val="19"/>
        </w:rPr>
        <w:t>S</w:t>
      </w:r>
      <w:r w:rsidRPr="00296E53">
        <w:rPr>
          <w:rFonts w:ascii="Century Gothic" w:hAnsi="Century Gothic" w:cs="Arial"/>
          <w:b/>
          <w:sz w:val="19"/>
          <w:szCs w:val="19"/>
        </w:rPr>
        <w:t xml:space="preserve">atisfacción de las necesidades de los usuarios, </w:t>
      </w:r>
      <w:r w:rsidRPr="00296E53">
        <w:rPr>
          <w:rFonts w:ascii="Century Gothic" w:hAnsi="Century Gothic" w:cs="Arial"/>
          <w:sz w:val="19"/>
          <w:szCs w:val="19"/>
        </w:rPr>
        <w:t xml:space="preserve">como el objetivo del aseguramiento de la calidad de la información estadística y geográfica en el INEGI y el eje central del marco. </w:t>
      </w:r>
    </w:p>
    <w:p w14:paraId="126D1F68" w14:textId="4233CE0F" w:rsidR="005838DC" w:rsidRPr="00296E53" w:rsidRDefault="005838DC" w:rsidP="004C2C1D">
      <w:pPr>
        <w:pStyle w:val="Prrafodelista"/>
        <w:numPr>
          <w:ilvl w:val="0"/>
          <w:numId w:val="16"/>
        </w:numPr>
        <w:ind w:left="284" w:hanging="284"/>
        <w:jc w:val="both"/>
        <w:rPr>
          <w:rFonts w:ascii="Century Gothic" w:hAnsi="Century Gothic" w:cs="Arial"/>
          <w:sz w:val="19"/>
          <w:szCs w:val="19"/>
        </w:rPr>
      </w:pPr>
      <w:r w:rsidRPr="00296E53">
        <w:rPr>
          <w:rFonts w:ascii="Century Gothic" w:hAnsi="Century Gothic" w:cs="Arial"/>
          <w:b/>
          <w:sz w:val="19"/>
          <w:szCs w:val="19"/>
        </w:rPr>
        <w:t>Principios y Directrices de Calidad de la información estadística y geográfica</w:t>
      </w:r>
      <w:r w:rsidRPr="00296E53">
        <w:rPr>
          <w:rFonts w:ascii="Century Gothic" w:hAnsi="Century Gothic" w:cs="Arial"/>
          <w:sz w:val="19"/>
          <w:szCs w:val="19"/>
        </w:rPr>
        <w:t xml:space="preserve">, en </w:t>
      </w:r>
      <w:r w:rsidR="00D813AA" w:rsidRPr="00296E53">
        <w:rPr>
          <w:rFonts w:ascii="Century Gothic" w:hAnsi="Century Gothic" w:cs="Arial"/>
          <w:sz w:val="19"/>
          <w:szCs w:val="19"/>
        </w:rPr>
        <w:t>donde</w:t>
      </w:r>
      <w:r w:rsidRPr="00296E53">
        <w:rPr>
          <w:rFonts w:ascii="Century Gothic" w:hAnsi="Century Gothic" w:cs="Arial"/>
          <w:sz w:val="19"/>
          <w:szCs w:val="19"/>
        </w:rPr>
        <w:t xml:space="preserve"> se define</w:t>
      </w:r>
      <w:r w:rsidR="00D86212" w:rsidRPr="00296E53">
        <w:rPr>
          <w:rFonts w:ascii="Century Gothic" w:hAnsi="Century Gothic" w:cs="Arial"/>
          <w:sz w:val="19"/>
          <w:szCs w:val="19"/>
        </w:rPr>
        <w:t>n</w:t>
      </w:r>
      <w:r w:rsidRPr="00296E53">
        <w:rPr>
          <w:rFonts w:ascii="Century Gothic" w:hAnsi="Century Gothic" w:cs="Arial"/>
          <w:sz w:val="19"/>
          <w:szCs w:val="19"/>
        </w:rPr>
        <w:t xml:space="preserve"> las dimensiones, principios y directrices que guiarán la conceptualización y medición de la calidad de la información estadística y geográfica. En línea con las recomendaciones internacionales y la normatividad existente, establece cuatro dimensiones de aplicación para el aseguramiento de la calidad: el Sistema, el entorno institucional, los productos estadísticos y geográficos, así como los procesos subyacentes. </w:t>
      </w:r>
    </w:p>
    <w:p w14:paraId="7F5A8FDA" w14:textId="496695BF" w:rsidR="005838DC" w:rsidRPr="00296E53" w:rsidRDefault="005838DC" w:rsidP="004C2C1D">
      <w:pPr>
        <w:pStyle w:val="Prrafodelista"/>
        <w:numPr>
          <w:ilvl w:val="0"/>
          <w:numId w:val="16"/>
        </w:numPr>
        <w:ind w:left="284" w:hanging="284"/>
        <w:jc w:val="both"/>
        <w:rPr>
          <w:rFonts w:ascii="Century Gothic" w:hAnsi="Century Gothic" w:cs="Arial"/>
          <w:sz w:val="19"/>
          <w:szCs w:val="19"/>
        </w:rPr>
      </w:pPr>
      <w:r w:rsidRPr="00296E53">
        <w:rPr>
          <w:rFonts w:ascii="Century Gothic" w:hAnsi="Century Gothic" w:cs="Arial"/>
          <w:b/>
          <w:sz w:val="19"/>
          <w:szCs w:val="19"/>
        </w:rPr>
        <w:t>Estrategias para la Gestión de la Calidad Institucional</w:t>
      </w:r>
      <w:r w:rsidRPr="00296E53">
        <w:rPr>
          <w:rFonts w:ascii="Century Gothic" w:hAnsi="Century Gothic" w:cs="Arial"/>
          <w:sz w:val="19"/>
          <w:szCs w:val="19"/>
        </w:rPr>
        <w:t>, que establece los medios, mecanismos y actividades a través de lo</w:t>
      </w:r>
      <w:r w:rsidRPr="00296E53">
        <w:rPr>
          <w:rFonts w:ascii="Century Gothic" w:hAnsi="Century Gothic" w:cs="Arial"/>
          <w:sz w:val="19"/>
          <w:szCs w:val="19"/>
          <w:lang w:val="es-419"/>
        </w:rPr>
        <w:t>s</w:t>
      </w:r>
      <w:r w:rsidRPr="00296E53">
        <w:rPr>
          <w:rFonts w:ascii="Century Gothic" w:hAnsi="Century Gothic" w:cs="Arial"/>
          <w:sz w:val="19"/>
          <w:szCs w:val="19"/>
        </w:rPr>
        <w:t xml:space="preserve"> cuales se gestionará el aseguramiento de la calidad. Cabe señalar que para que este Sistema funcione es indispensable vincular las acciones para el aseguramiento de la calidad con la </w:t>
      </w:r>
      <w:r w:rsidRPr="00296E53">
        <w:rPr>
          <w:rFonts w:ascii="Century Gothic" w:hAnsi="Century Gothic" w:cs="Arial"/>
          <w:bCs/>
          <w:sz w:val="19"/>
          <w:szCs w:val="19"/>
        </w:rPr>
        <w:t>operación del INEGI</w:t>
      </w:r>
      <w:r w:rsidRPr="00296E53">
        <w:rPr>
          <w:rFonts w:ascii="Century Gothic" w:hAnsi="Century Gothic" w:cs="Arial"/>
          <w:sz w:val="19"/>
          <w:szCs w:val="19"/>
        </w:rPr>
        <w:t xml:space="preserve"> en todos sus ámbitos: cultura y estructura organizacional, planeación y liderazgo</w:t>
      </w:r>
      <w:r w:rsidR="00D86212" w:rsidRPr="00296E53">
        <w:rPr>
          <w:rFonts w:ascii="Century Gothic" w:hAnsi="Century Gothic" w:cs="Arial"/>
          <w:sz w:val="19"/>
          <w:szCs w:val="19"/>
        </w:rPr>
        <w:t>;</w:t>
      </w:r>
      <w:r w:rsidRPr="00296E53">
        <w:rPr>
          <w:rFonts w:ascii="Century Gothic" w:hAnsi="Century Gothic" w:cs="Arial"/>
          <w:sz w:val="19"/>
          <w:szCs w:val="19"/>
        </w:rPr>
        <w:t xml:space="preserve"> la atención y coordinación con las Unidades de</w:t>
      </w:r>
      <w:r w:rsidR="00D86212" w:rsidRPr="00296E53">
        <w:rPr>
          <w:rFonts w:ascii="Century Gothic" w:hAnsi="Century Gothic" w:cs="Arial"/>
          <w:sz w:val="19"/>
          <w:szCs w:val="19"/>
        </w:rPr>
        <w:t>l</w:t>
      </w:r>
      <w:r w:rsidRPr="00296E53">
        <w:rPr>
          <w:rFonts w:ascii="Century Gothic" w:hAnsi="Century Gothic" w:cs="Arial"/>
          <w:sz w:val="19"/>
          <w:szCs w:val="19"/>
        </w:rPr>
        <w:t xml:space="preserve"> Estado</w:t>
      </w:r>
      <w:r w:rsidR="00D86212" w:rsidRPr="00296E53">
        <w:rPr>
          <w:rFonts w:ascii="Century Gothic" w:hAnsi="Century Gothic" w:cs="Arial"/>
          <w:sz w:val="19"/>
          <w:szCs w:val="19"/>
        </w:rPr>
        <w:t>;</w:t>
      </w:r>
      <w:r w:rsidRPr="00296E53">
        <w:rPr>
          <w:rFonts w:ascii="Century Gothic" w:hAnsi="Century Gothic" w:cs="Arial"/>
          <w:sz w:val="19"/>
          <w:szCs w:val="19"/>
        </w:rPr>
        <w:t xml:space="preserve"> recursos humanos, financieros, materiales e informáticos, así como procedimientos operativos, normatividad, estándares técnicos y metodologías.</w:t>
      </w:r>
    </w:p>
    <w:tbl>
      <w:tblPr>
        <w:tblW w:w="12763" w:type="dxa"/>
        <w:jc w:val="center"/>
        <w:tblLook w:val="04A0" w:firstRow="1" w:lastRow="0" w:firstColumn="1" w:lastColumn="0" w:noHBand="0" w:noVBand="1"/>
      </w:tblPr>
      <w:tblGrid>
        <w:gridCol w:w="630"/>
        <w:gridCol w:w="668"/>
        <w:gridCol w:w="3445"/>
        <w:gridCol w:w="7564"/>
        <w:gridCol w:w="456"/>
      </w:tblGrid>
      <w:tr w:rsidR="00691B74" w:rsidRPr="00296E53" w14:paraId="7BA49412" w14:textId="77777777" w:rsidTr="00902CDA">
        <w:trPr>
          <w:gridBefore w:val="1"/>
          <w:gridAfter w:val="1"/>
          <w:wBefore w:w="1003" w:type="dxa"/>
          <w:wAfter w:w="725" w:type="dxa"/>
          <w:cantSplit/>
          <w:trHeight w:val="3405"/>
          <w:jc w:val="center"/>
        </w:trPr>
        <w:tc>
          <w:tcPr>
            <w:tcW w:w="668" w:type="dxa"/>
            <w:textDirection w:val="btLr"/>
            <w:vAlign w:val="center"/>
          </w:tcPr>
          <w:p w14:paraId="504D8B71" w14:textId="77777777" w:rsidR="005838DC" w:rsidRPr="00296E53" w:rsidRDefault="005838DC" w:rsidP="00292168">
            <w:pPr>
              <w:spacing w:after="120"/>
              <w:ind w:left="120" w:right="113" w:hanging="7"/>
              <w:jc w:val="center"/>
              <w:rPr>
                <w:rFonts w:ascii="Century Gothic" w:hAnsi="Century Gothic"/>
              </w:rPr>
            </w:pPr>
            <w:r w:rsidRPr="00296E53">
              <w:rPr>
                <w:rFonts w:ascii="Century Gothic" w:hAnsi="Century Gothic"/>
                <w:bCs/>
                <w:caps/>
                <w:color w:val="0079BF"/>
                <w:sz w:val="24"/>
              </w:rPr>
              <w:t xml:space="preserve">Esquema integral </w:t>
            </w:r>
            <w:r w:rsidR="00292168" w:rsidRPr="00296E53">
              <w:rPr>
                <w:rFonts w:ascii="Century Gothic" w:hAnsi="Century Gothic"/>
                <w:bCs/>
                <w:caps/>
                <w:color w:val="0079BF"/>
                <w:sz w:val="24"/>
              </w:rPr>
              <w:t>de calidad</w:t>
            </w:r>
          </w:p>
        </w:tc>
        <w:tc>
          <w:tcPr>
            <w:tcW w:w="10367" w:type="dxa"/>
            <w:gridSpan w:val="2"/>
            <w:vAlign w:val="center"/>
          </w:tcPr>
          <w:p w14:paraId="49EB4198" w14:textId="77777777" w:rsidR="007C7B64" w:rsidRPr="00296E53" w:rsidRDefault="007C7B64" w:rsidP="00546277">
            <w:pPr>
              <w:spacing w:after="120"/>
              <w:jc w:val="right"/>
              <w:rPr>
                <w:rFonts w:ascii="Century Gothic" w:hAnsi="Century Gothic"/>
              </w:rPr>
            </w:pPr>
          </w:p>
          <w:p w14:paraId="6140525D" w14:textId="77777777" w:rsidR="005838DC" w:rsidRPr="00296E53" w:rsidRDefault="007C7B64" w:rsidP="00546277">
            <w:pPr>
              <w:spacing w:after="120"/>
              <w:jc w:val="right"/>
              <w:rPr>
                <w:rFonts w:ascii="Century Gothic" w:hAnsi="Century Gothic"/>
              </w:rPr>
            </w:pPr>
            <w:r w:rsidRPr="00296E53">
              <w:rPr>
                <w:rFonts w:ascii="Century Gothic" w:hAnsi="Century Gothic"/>
                <w:noProof/>
                <w:lang w:eastAsia="es-MX"/>
              </w:rPr>
              <w:drawing>
                <wp:inline distT="0" distB="0" distL="0" distR="0" wp14:anchorId="4E8A8FD9" wp14:editId="34BD5CC3">
                  <wp:extent cx="6853555" cy="3195955"/>
                  <wp:effectExtent l="0" t="0" r="0" b="444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3555" cy="3195955"/>
                          </a:xfrm>
                          <a:prstGeom prst="rect">
                            <a:avLst/>
                          </a:prstGeom>
                          <a:noFill/>
                          <a:ln>
                            <a:noFill/>
                          </a:ln>
                        </pic:spPr>
                      </pic:pic>
                    </a:graphicData>
                  </a:graphic>
                </wp:inline>
              </w:drawing>
            </w:r>
          </w:p>
        </w:tc>
      </w:tr>
      <w:tr w:rsidR="00902CDA" w:rsidRPr="00296E53" w14:paraId="488E1B75" w14:textId="77777777" w:rsidTr="00902CDA">
        <w:tblPrEx>
          <w:jc w:val="left"/>
        </w:tblPrEx>
        <w:trPr>
          <w:trHeight w:val="53"/>
        </w:trPr>
        <w:tc>
          <w:tcPr>
            <w:tcW w:w="4913" w:type="dxa"/>
            <w:gridSpan w:val="3"/>
            <w:shd w:val="clear" w:color="auto" w:fill="auto"/>
          </w:tcPr>
          <w:p w14:paraId="73D17205" w14:textId="77777777" w:rsidR="00902CDA" w:rsidRPr="00296E53" w:rsidRDefault="00902CDA" w:rsidP="00546277">
            <w:pPr>
              <w:rPr>
                <w:rFonts w:cstheme="minorHAnsi"/>
                <w:color w:val="FFFFFF" w:themeColor="background1"/>
                <w:sz w:val="2"/>
                <w:szCs w:val="18"/>
              </w:rPr>
            </w:pPr>
          </w:p>
        </w:tc>
        <w:tc>
          <w:tcPr>
            <w:tcW w:w="7850" w:type="dxa"/>
            <w:gridSpan w:val="2"/>
            <w:shd w:val="clear" w:color="auto" w:fill="FFFFFF" w:themeFill="background1"/>
          </w:tcPr>
          <w:p w14:paraId="451010D8" w14:textId="77777777" w:rsidR="007C7B64" w:rsidRPr="00296E53" w:rsidRDefault="007C7B64" w:rsidP="007C7B64">
            <w:pPr>
              <w:spacing w:before="120" w:after="120"/>
              <w:ind w:left="-3855"/>
              <w:jc w:val="both"/>
              <w:rPr>
                <w:rFonts w:ascii="Century Gothic" w:hAnsi="Century Gothic"/>
                <w:sz w:val="19"/>
                <w:szCs w:val="19"/>
              </w:rPr>
            </w:pPr>
          </w:p>
          <w:p w14:paraId="1462FF05" w14:textId="77777777" w:rsidR="007C7B64" w:rsidRPr="00296E53" w:rsidRDefault="007C7B64" w:rsidP="007C7B64">
            <w:pPr>
              <w:spacing w:before="120" w:after="120"/>
              <w:ind w:left="-3855"/>
              <w:jc w:val="both"/>
              <w:rPr>
                <w:rFonts w:ascii="Century Gothic" w:hAnsi="Century Gothic"/>
                <w:sz w:val="19"/>
                <w:szCs w:val="19"/>
              </w:rPr>
            </w:pPr>
          </w:p>
          <w:p w14:paraId="34DE2069" w14:textId="77777777" w:rsidR="00902CDA" w:rsidRPr="00296E53" w:rsidRDefault="00902CDA" w:rsidP="00902CDA">
            <w:pPr>
              <w:spacing w:after="0"/>
              <w:jc w:val="center"/>
              <w:rPr>
                <w:rFonts w:asciiTheme="majorHAnsi" w:hAnsiTheme="majorHAnsi" w:cstheme="majorHAnsi"/>
                <w:b/>
                <w:bCs/>
                <w:color w:val="0079BF"/>
                <w:sz w:val="36"/>
                <w:szCs w:val="36"/>
              </w:rPr>
            </w:pPr>
            <w:r w:rsidRPr="00296E53">
              <w:rPr>
                <w:rFonts w:asciiTheme="majorHAnsi" w:hAnsiTheme="majorHAnsi" w:cstheme="majorHAnsi"/>
                <w:b/>
                <w:bCs/>
                <w:color w:val="0079BF"/>
                <w:sz w:val="36"/>
                <w:szCs w:val="36"/>
              </w:rPr>
              <w:t>ACTUALIZACIÓN NORMATIVA</w:t>
            </w:r>
          </w:p>
        </w:tc>
      </w:tr>
      <w:tr w:rsidR="007C7B64" w:rsidRPr="00296E53" w14:paraId="1A4E41BF" w14:textId="77777777" w:rsidTr="00902CDA">
        <w:tblPrEx>
          <w:jc w:val="left"/>
        </w:tblPrEx>
        <w:trPr>
          <w:trHeight w:val="53"/>
        </w:trPr>
        <w:tc>
          <w:tcPr>
            <w:tcW w:w="4913" w:type="dxa"/>
            <w:gridSpan w:val="3"/>
            <w:shd w:val="clear" w:color="auto" w:fill="1F3864" w:themeFill="accent5" w:themeFillShade="80"/>
          </w:tcPr>
          <w:p w14:paraId="0EC04401" w14:textId="77777777" w:rsidR="005853B3" w:rsidRPr="00296E53" w:rsidRDefault="005853B3" w:rsidP="00546277">
            <w:pPr>
              <w:rPr>
                <w:rFonts w:cstheme="minorHAnsi"/>
                <w:color w:val="FFFFFF" w:themeColor="background1"/>
                <w:sz w:val="2"/>
                <w:szCs w:val="18"/>
              </w:rPr>
            </w:pPr>
          </w:p>
        </w:tc>
        <w:tc>
          <w:tcPr>
            <w:tcW w:w="7850" w:type="dxa"/>
            <w:gridSpan w:val="2"/>
            <w:shd w:val="clear" w:color="auto" w:fill="FFFFFF" w:themeFill="background1"/>
          </w:tcPr>
          <w:p w14:paraId="00FD8E71" w14:textId="77777777" w:rsidR="005853B3" w:rsidRPr="00296E53" w:rsidRDefault="005853B3" w:rsidP="00546277">
            <w:pPr>
              <w:rPr>
                <w:rFonts w:cstheme="minorHAnsi"/>
                <w:color w:val="FFFFFF" w:themeColor="background1"/>
                <w:sz w:val="2"/>
                <w:szCs w:val="18"/>
              </w:rPr>
            </w:pPr>
          </w:p>
        </w:tc>
      </w:tr>
      <w:tr w:rsidR="007C7B64" w:rsidRPr="00296E53" w14:paraId="78869349" w14:textId="77777777" w:rsidTr="00902CDA">
        <w:tblPrEx>
          <w:jc w:val="left"/>
        </w:tblPrEx>
        <w:trPr>
          <w:trHeight w:val="201"/>
        </w:trPr>
        <w:tc>
          <w:tcPr>
            <w:tcW w:w="4913" w:type="dxa"/>
            <w:gridSpan w:val="3"/>
            <w:shd w:val="clear" w:color="auto" w:fill="0079BF"/>
          </w:tcPr>
          <w:p w14:paraId="473CF4CF" w14:textId="77777777" w:rsidR="005853B3" w:rsidRPr="00296E53" w:rsidRDefault="005853B3" w:rsidP="00546277">
            <w:pPr>
              <w:rPr>
                <w:rFonts w:cstheme="minorHAnsi"/>
                <w:color w:val="FFFFFF" w:themeColor="background1"/>
                <w:sz w:val="2"/>
                <w:szCs w:val="12"/>
              </w:rPr>
            </w:pPr>
          </w:p>
        </w:tc>
        <w:tc>
          <w:tcPr>
            <w:tcW w:w="7850" w:type="dxa"/>
            <w:gridSpan w:val="2"/>
            <w:shd w:val="clear" w:color="auto" w:fill="0079BF"/>
          </w:tcPr>
          <w:p w14:paraId="088885ED" w14:textId="77777777" w:rsidR="005853B3" w:rsidRPr="00296E53" w:rsidRDefault="005853B3" w:rsidP="00546277">
            <w:pPr>
              <w:rPr>
                <w:rFonts w:cstheme="minorHAnsi"/>
                <w:color w:val="FFFFFF" w:themeColor="background1"/>
                <w:sz w:val="2"/>
                <w:szCs w:val="12"/>
              </w:rPr>
            </w:pPr>
          </w:p>
        </w:tc>
      </w:tr>
    </w:tbl>
    <w:p w14:paraId="5DCD4E94" w14:textId="77777777" w:rsidR="005853B3" w:rsidRPr="00296E53" w:rsidRDefault="005853B3" w:rsidP="005853B3">
      <w:pPr>
        <w:spacing w:after="120"/>
        <w:rPr>
          <w:rFonts w:ascii="Century Gothic" w:hAnsi="Century Gothic"/>
        </w:rPr>
      </w:pPr>
    </w:p>
    <w:p w14:paraId="284C75BC" w14:textId="77777777" w:rsidR="00B6291B" w:rsidRPr="00296E53" w:rsidRDefault="00944684" w:rsidP="00B6291B">
      <w:pPr>
        <w:pStyle w:val="Ttulo1"/>
      </w:pPr>
      <w:bookmarkStart w:id="4" w:name="_Toc65502222"/>
      <w:r w:rsidRPr="00296E53">
        <w:rPr>
          <w:rFonts w:ascii="Century Gothic" w:eastAsiaTheme="minorHAnsi" w:hAnsi="Century Gothic" w:cstheme="minorBidi"/>
          <w:b/>
          <w:color w:val="auto"/>
          <w:sz w:val="22"/>
          <w:szCs w:val="22"/>
        </w:rPr>
        <w:t>Principios y Directrices</w:t>
      </w:r>
      <w:r w:rsidR="00B6291B" w:rsidRPr="00296E53">
        <w:rPr>
          <w:rFonts w:ascii="Century Gothic" w:eastAsiaTheme="minorHAnsi" w:hAnsi="Century Gothic" w:cstheme="minorBidi"/>
          <w:b/>
          <w:color w:val="auto"/>
          <w:sz w:val="22"/>
          <w:szCs w:val="22"/>
        </w:rPr>
        <w:t xml:space="preserve"> de Calidad</w:t>
      </w:r>
      <w:bookmarkEnd w:id="4"/>
      <w:r w:rsidR="00B6291B" w:rsidRPr="00296E53">
        <w:rPr>
          <w:rFonts w:ascii="Century Gothic" w:eastAsiaTheme="minorHAnsi" w:hAnsi="Century Gothic" w:cstheme="minorBidi"/>
          <w:b/>
          <w:color w:val="auto"/>
          <w:sz w:val="22"/>
          <w:szCs w:val="22"/>
        </w:rPr>
        <w:t xml:space="preserve"> </w:t>
      </w:r>
    </w:p>
    <w:p w14:paraId="184D6B57" w14:textId="77777777" w:rsidR="00945326" w:rsidRPr="00296E53" w:rsidRDefault="00EA7FB6" w:rsidP="00D86212">
      <w:pPr>
        <w:spacing w:before="120" w:after="120"/>
        <w:jc w:val="both"/>
        <w:rPr>
          <w:rFonts w:ascii="Century Gothic" w:hAnsi="Century Gothic"/>
          <w:sz w:val="19"/>
          <w:szCs w:val="19"/>
        </w:rPr>
      </w:pPr>
      <w:r w:rsidRPr="00296E53">
        <w:rPr>
          <w:rFonts w:ascii="Century Gothic" w:hAnsi="Century Gothic"/>
          <w:sz w:val="19"/>
          <w:szCs w:val="19"/>
        </w:rPr>
        <w:t>Actualmente, existen dos documentos normativos similares: la Política de Calidad Institucional</w:t>
      </w:r>
      <w:r w:rsidRPr="00296E53">
        <w:rPr>
          <w:vertAlign w:val="superscript"/>
        </w:rPr>
        <w:footnoteReference w:id="5"/>
      </w:r>
      <w:r w:rsidR="00D86212" w:rsidRPr="00296E53">
        <w:rPr>
          <w:rFonts w:ascii="Century Gothic" w:hAnsi="Century Gothic"/>
          <w:sz w:val="19"/>
          <w:szCs w:val="19"/>
        </w:rPr>
        <w:t xml:space="preserve">, en el ámbito del INEGI, </w:t>
      </w:r>
      <w:r w:rsidRPr="00296E53">
        <w:rPr>
          <w:rFonts w:ascii="Century Gothic" w:hAnsi="Century Gothic"/>
          <w:sz w:val="19"/>
          <w:szCs w:val="19"/>
        </w:rPr>
        <w:t xml:space="preserve">y los Principios y Buenas </w:t>
      </w:r>
      <w:r w:rsidR="00D86212" w:rsidRPr="00296E53">
        <w:rPr>
          <w:rFonts w:ascii="Century Gothic" w:hAnsi="Century Gothic"/>
          <w:sz w:val="19"/>
          <w:szCs w:val="19"/>
        </w:rPr>
        <w:t xml:space="preserve">Prácticas </w:t>
      </w:r>
      <w:r w:rsidRPr="00296E53">
        <w:rPr>
          <w:rFonts w:ascii="Century Gothic" w:hAnsi="Century Gothic"/>
          <w:sz w:val="19"/>
          <w:szCs w:val="19"/>
        </w:rPr>
        <w:t xml:space="preserve">del SNIEG.  En ambos casos se retoman </w:t>
      </w:r>
      <w:r w:rsidR="00DB21DD" w:rsidRPr="00296E53">
        <w:rPr>
          <w:rFonts w:ascii="Century Gothic" w:hAnsi="Century Gothic"/>
          <w:sz w:val="19"/>
          <w:szCs w:val="19"/>
        </w:rPr>
        <w:t xml:space="preserve">los principios y directrices utilizados por los organismos internacionales como la Comisión Estadística de las Naciones Unidas, </w:t>
      </w:r>
      <w:r w:rsidR="00D86212" w:rsidRPr="00296E53">
        <w:rPr>
          <w:rFonts w:ascii="Century Gothic" w:hAnsi="Century Gothic"/>
          <w:sz w:val="19"/>
          <w:szCs w:val="19"/>
        </w:rPr>
        <w:t xml:space="preserve">la </w:t>
      </w:r>
      <w:r w:rsidR="00DB21DD" w:rsidRPr="00296E53">
        <w:rPr>
          <w:rFonts w:ascii="Century Gothic" w:hAnsi="Century Gothic"/>
          <w:sz w:val="19"/>
          <w:szCs w:val="19"/>
        </w:rPr>
        <w:t xml:space="preserve">Organización para la Cooperación y Desarrollo Económicos (OECD) y el Comité del Sistema Estadístico Europeo (EUROSTAT). </w:t>
      </w:r>
    </w:p>
    <w:p w14:paraId="6D1BAB5D" w14:textId="1D3BB6DF" w:rsidR="0027342B" w:rsidRPr="00296E53" w:rsidRDefault="00DB21DD" w:rsidP="0027342B">
      <w:pPr>
        <w:spacing w:before="120" w:after="120"/>
        <w:jc w:val="both"/>
        <w:rPr>
          <w:rFonts w:ascii="Century Gothic" w:hAnsi="Century Gothic"/>
          <w:sz w:val="19"/>
          <w:szCs w:val="19"/>
        </w:rPr>
      </w:pPr>
      <w:r w:rsidRPr="00296E53">
        <w:rPr>
          <w:rFonts w:ascii="Century Gothic" w:hAnsi="Century Gothic"/>
          <w:sz w:val="19"/>
          <w:szCs w:val="19"/>
        </w:rPr>
        <w:t>En 2020,</w:t>
      </w:r>
      <w:r w:rsidR="00FA1EBC">
        <w:rPr>
          <w:rFonts w:ascii="Century Gothic" w:hAnsi="Century Gothic"/>
          <w:sz w:val="19"/>
          <w:szCs w:val="19"/>
        </w:rPr>
        <w:t xml:space="preserve"> </w:t>
      </w:r>
      <w:r w:rsidRPr="00296E53">
        <w:rPr>
          <w:rFonts w:ascii="Century Gothic" w:hAnsi="Century Gothic"/>
          <w:sz w:val="19"/>
          <w:szCs w:val="19"/>
        </w:rPr>
        <w:t>buscando reducir normatividad redundante, el Comité de Aseguramiento de la Calidad trabajó una propuesta de Principios y Directrices de Calidad que en 2021 se pasará a aprobación del SNIEG con el fin de sustituir los documentos normativos mencionados.</w:t>
      </w:r>
      <w:r w:rsidR="00945326" w:rsidRPr="00296E53">
        <w:rPr>
          <w:rFonts w:ascii="Century Gothic" w:hAnsi="Century Gothic"/>
          <w:sz w:val="19"/>
          <w:szCs w:val="19"/>
        </w:rPr>
        <w:t xml:space="preserve"> </w:t>
      </w:r>
      <w:r w:rsidR="0027342B" w:rsidRPr="00296E53">
        <w:rPr>
          <w:rFonts w:ascii="Century Gothic" w:hAnsi="Century Gothic"/>
          <w:sz w:val="19"/>
          <w:szCs w:val="19"/>
        </w:rPr>
        <w:t xml:space="preserve">Los principios y directrices de calidad reconocen que la calidad de la información es un concepto multidimensional relacionado con los atributos de </w:t>
      </w:r>
      <w:r w:rsidR="00D86212" w:rsidRPr="00296E53">
        <w:rPr>
          <w:rFonts w:ascii="Century Gothic" w:hAnsi="Century Gothic"/>
          <w:sz w:val="19"/>
          <w:szCs w:val="19"/>
        </w:rPr>
        <w:t xml:space="preserve">los </w:t>
      </w:r>
      <w:r w:rsidR="0027342B" w:rsidRPr="00296E53">
        <w:rPr>
          <w:rFonts w:ascii="Century Gothic" w:hAnsi="Century Gothic"/>
          <w:sz w:val="19"/>
          <w:szCs w:val="19"/>
        </w:rPr>
        <w:t>producto</w:t>
      </w:r>
      <w:r w:rsidR="00D86212" w:rsidRPr="00296E53">
        <w:rPr>
          <w:rFonts w:ascii="Century Gothic" w:hAnsi="Century Gothic"/>
          <w:sz w:val="19"/>
          <w:szCs w:val="19"/>
        </w:rPr>
        <w:t>s</w:t>
      </w:r>
      <w:r w:rsidR="0027342B" w:rsidRPr="00296E53">
        <w:rPr>
          <w:rFonts w:ascii="Century Gothic" w:hAnsi="Century Gothic"/>
          <w:sz w:val="19"/>
          <w:szCs w:val="19"/>
        </w:rPr>
        <w:t xml:space="preserve"> de información, los procesos mediante los cuales se llega a ellos, el entorno institucional en el que se produce</w:t>
      </w:r>
      <w:r w:rsidR="00D86212" w:rsidRPr="00296E53">
        <w:rPr>
          <w:rFonts w:ascii="Century Gothic" w:hAnsi="Century Gothic"/>
          <w:sz w:val="19"/>
          <w:szCs w:val="19"/>
        </w:rPr>
        <w:t>n</w:t>
      </w:r>
      <w:r w:rsidR="0027342B" w:rsidRPr="00296E53">
        <w:rPr>
          <w:rFonts w:ascii="Century Gothic" w:hAnsi="Century Gothic"/>
          <w:sz w:val="19"/>
          <w:szCs w:val="19"/>
        </w:rPr>
        <w:t>, así como el sistema de información nacional en el que se desarrolla</w:t>
      </w:r>
      <w:r w:rsidR="0011425A" w:rsidRPr="00296E53">
        <w:rPr>
          <w:rFonts w:ascii="Century Gothic" w:hAnsi="Century Gothic"/>
          <w:sz w:val="19"/>
          <w:szCs w:val="19"/>
        </w:rPr>
        <w:t>n</w:t>
      </w:r>
      <w:r w:rsidR="0027342B" w:rsidRPr="00296E53">
        <w:rPr>
          <w:rFonts w:ascii="Century Gothic" w:hAnsi="Century Gothic"/>
          <w:sz w:val="19"/>
          <w:szCs w:val="19"/>
        </w:rPr>
        <w:t>. Buscan ser una referencia o guía de actuación de las acciones encaminadas a la producción, integración y difusión de la información estadística y geográfica.</w:t>
      </w:r>
    </w:p>
    <w:p w14:paraId="598A08EB" w14:textId="77777777" w:rsidR="007F31ED" w:rsidRPr="00296E53" w:rsidRDefault="007F31ED" w:rsidP="00231318">
      <w:pPr>
        <w:spacing w:after="120"/>
        <w:jc w:val="both"/>
        <w:rPr>
          <w:rFonts w:ascii="Century Gothic" w:hAnsi="Century Gothic"/>
          <w:sz w:val="19"/>
          <w:szCs w:val="19"/>
        </w:rPr>
      </w:pPr>
    </w:p>
    <w:tbl>
      <w:tblPr>
        <w:tblW w:w="10602" w:type="dxa"/>
        <w:jc w:val="center"/>
        <w:tblLook w:val="04A0" w:firstRow="1" w:lastRow="0" w:firstColumn="1" w:lastColumn="0" w:noHBand="0" w:noVBand="1"/>
      </w:tblPr>
      <w:tblGrid>
        <w:gridCol w:w="1068"/>
        <w:gridCol w:w="9534"/>
      </w:tblGrid>
      <w:tr w:rsidR="00292168" w:rsidRPr="00296E53" w14:paraId="7983A1E5" w14:textId="77777777" w:rsidTr="005C664C">
        <w:trPr>
          <w:cantSplit/>
          <w:trHeight w:val="3405"/>
          <w:jc w:val="center"/>
        </w:trPr>
        <w:tc>
          <w:tcPr>
            <w:tcW w:w="1068" w:type="dxa"/>
            <w:textDirection w:val="btLr"/>
            <w:vAlign w:val="center"/>
          </w:tcPr>
          <w:p w14:paraId="1F84FC36" w14:textId="77777777" w:rsidR="00C34F39" w:rsidRPr="00296E53" w:rsidRDefault="00C34F39" w:rsidP="00292168">
            <w:pPr>
              <w:spacing w:after="120"/>
              <w:ind w:left="120" w:right="113" w:hanging="7"/>
              <w:jc w:val="center"/>
              <w:rPr>
                <w:rFonts w:ascii="Century Gothic" w:hAnsi="Century Gothic"/>
              </w:rPr>
            </w:pPr>
            <w:r w:rsidRPr="00296E53">
              <w:rPr>
                <w:rFonts w:ascii="Century Gothic" w:hAnsi="Century Gothic"/>
                <w:bCs/>
                <w:caps/>
                <w:color w:val="0079BF"/>
                <w:sz w:val="24"/>
              </w:rPr>
              <w:t xml:space="preserve">Principios </w:t>
            </w:r>
            <w:r w:rsidR="00DF7918" w:rsidRPr="00296E53">
              <w:rPr>
                <w:rFonts w:ascii="Century Gothic" w:hAnsi="Century Gothic"/>
                <w:bCs/>
                <w:caps/>
                <w:color w:val="0079BF"/>
                <w:sz w:val="24"/>
              </w:rPr>
              <w:t>de calidad</w:t>
            </w:r>
          </w:p>
        </w:tc>
        <w:tc>
          <w:tcPr>
            <w:tcW w:w="9534" w:type="dxa"/>
            <w:vAlign w:val="center"/>
          </w:tcPr>
          <w:p w14:paraId="4BCC591E" w14:textId="77777777" w:rsidR="00C34F39" w:rsidRPr="00296E53" w:rsidRDefault="00E61B50" w:rsidP="00263F0C">
            <w:pPr>
              <w:spacing w:after="120"/>
              <w:jc w:val="right"/>
              <w:rPr>
                <w:rFonts w:ascii="Century Gothic" w:hAnsi="Century Gothic"/>
              </w:rPr>
            </w:pPr>
            <w:r w:rsidRPr="00296E53">
              <w:rPr>
                <w:rFonts w:ascii="Century Gothic" w:hAnsi="Century Gothic"/>
                <w:noProof/>
                <w:lang w:eastAsia="es-MX"/>
              </w:rPr>
              <w:drawing>
                <wp:inline distT="0" distB="0" distL="0" distR="0" wp14:anchorId="5F9C7204" wp14:editId="0FCEE0BE">
                  <wp:extent cx="5916980" cy="333749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4793" cy="3387021"/>
                          </a:xfrm>
                          <a:prstGeom prst="rect">
                            <a:avLst/>
                          </a:prstGeom>
                          <a:noFill/>
                          <a:ln>
                            <a:noFill/>
                          </a:ln>
                        </pic:spPr>
                      </pic:pic>
                    </a:graphicData>
                  </a:graphic>
                </wp:inline>
              </w:drawing>
            </w:r>
          </w:p>
        </w:tc>
      </w:tr>
    </w:tbl>
    <w:p w14:paraId="49E6D1C4" w14:textId="618A2E34" w:rsidR="0027342B" w:rsidRPr="00296E53" w:rsidRDefault="0027342B" w:rsidP="0027342B">
      <w:pPr>
        <w:spacing w:before="120" w:after="120"/>
        <w:jc w:val="both"/>
        <w:rPr>
          <w:rFonts w:ascii="Century Gothic" w:hAnsi="Century Gothic"/>
          <w:sz w:val="19"/>
          <w:szCs w:val="19"/>
        </w:rPr>
      </w:pPr>
      <w:r w:rsidRPr="00296E53">
        <w:rPr>
          <w:rFonts w:ascii="Century Gothic" w:hAnsi="Century Gothic"/>
          <w:sz w:val="19"/>
          <w:szCs w:val="19"/>
        </w:rPr>
        <w:t xml:space="preserve">Cabe señalar que los principios son prácticamente los mismos desde 2015 aunque se han redistribuido en 4 dimensiones y las directrices se </w:t>
      </w:r>
      <w:r w:rsidR="0011425A" w:rsidRPr="00296E53">
        <w:rPr>
          <w:rFonts w:ascii="Century Gothic" w:hAnsi="Century Gothic"/>
          <w:sz w:val="19"/>
          <w:szCs w:val="19"/>
        </w:rPr>
        <w:t xml:space="preserve">han </w:t>
      </w:r>
      <w:r w:rsidRPr="00296E53">
        <w:rPr>
          <w:rFonts w:ascii="Century Gothic" w:hAnsi="Century Gothic"/>
          <w:sz w:val="19"/>
          <w:szCs w:val="19"/>
        </w:rPr>
        <w:t>simplificado conforme a la experiencia nacional e internacional.  De esta manera, el nuevo documento representa una continuidad a las actividades de aseguramiento de la calidad que se han venido desarrollando, siempre en congruencia con los principios establecidos en el artículo 3 de la Ley del SN</w:t>
      </w:r>
      <w:r w:rsidR="0011425A" w:rsidRPr="00296E53">
        <w:rPr>
          <w:rFonts w:ascii="Century Gothic" w:hAnsi="Century Gothic"/>
          <w:sz w:val="19"/>
          <w:szCs w:val="19"/>
        </w:rPr>
        <w:t>IE</w:t>
      </w:r>
      <w:r w:rsidRPr="00296E53">
        <w:rPr>
          <w:rFonts w:ascii="Century Gothic" w:hAnsi="Century Gothic"/>
          <w:sz w:val="19"/>
          <w:szCs w:val="19"/>
        </w:rPr>
        <w:t xml:space="preserve">G.  </w:t>
      </w:r>
    </w:p>
    <w:p w14:paraId="370A248B" w14:textId="77777777" w:rsidR="00DF2449" w:rsidRPr="00296E53" w:rsidRDefault="00DF2449" w:rsidP="00033302">
      <w:pPr>
        <w:spacing w:before="120" w:after="120"/>
        <w:jc w:val="both"/>
        <w:rPr>
          <w:rFonts w:ascii="Century Gothic" w:hAnsi="Century Gothic"/>
          <w:sz w:val="19"/>
          <w:szCs w:val="19"/>
        </w:rPr>
      </w:pPr>
    </w:p>
    <w:p w14:paraId="1B28C842" w14:textId="77777777" w:rsidR="00DF2449" w:rsidRPr="00296E53" w:rsidRDefault="00DF2449">
      <w:pPr>
        <w:rPr>
          <w:rFonts w:ascii="Century Gothic" w:hAnsi="Century Gothic"/>
        </w:rPr>
      </w:pPr>
      <w:r w:rsidRPr="00296E53">
        <w:rPr>
          <w:rFonts w:ascii="Century Gothic" w:hAnsi="Century Gothic"/>
        </w:rPr>
        <w:br w:type="page"/>
      </w:r>
    </w:p>
    <w:tbl>
      <w:tblPr>
        <w:tblW w:w="12763" w:type="dxa"/>
        <w:tblInd w:w="-1139" w:type="dxa"/>
        <w:tblLook w:val="04A0" w:firstRow="1" w:lastRow="0" w:firstColumn="1" w:lastColumn="0" w:noHBand="0" w:noVBand="1"/>
      </w:tblPr>
      <w:tblGrid>
        <w:gridCol w:w="4967"/>
        <w:gridCol w:w="7796"/>
      </w:tblGrid>
      <w:tr w:rsidR="00902CDA" w:rsidRPr="00296E53" w14:paraId="6F3AF74C" w14:textId="77777777" w:rsidTr="00902CDA">
        <w:trPr>
          <w:trHeight w:val="53"/>
        </w:trPr>
        <w:tc>
          <w:tcPr>
            <w:tcW w:w="4967" w:type="dxa"/>
            <w:shd w:val="clear" w:color="auto" w:fill="auto"/>
          </w:tcPr>
          <w:p w14:paraId="069744B3" w14:textId="77777777" w:rsidR="00902CDA" w:rsidRPr="00296E53" w:rsidRDefault="00902CDA" w:rsidP="00546277">
            <w:pPr>
              <w:rPr>
                <w:rFonts w:cstheme="minorHAnsi"/>
                <w:color w:val="FFFFFF" w:themeColor="background1"/>
                <w:sz w:val="2"/>
                <w:szCs w:val="18"/>
              </w:rPr>
            </w:pPr>
          </w:p>
        </w:tc>
        <w:tc>
          <w:tcPr>
            <w:tcW w:w="7796" w:type="dxa"/>
            <w:shd w:val="clear" w:color="auto" w:fill="FFFFFF" w:themeFill="background1"/>
          </w:tcPr>
          <w:p w14:paraId="74334DC2" w14:textId="77777777" w:rsidR="00902CDA" w:rsidRPr="00296E53" w:rsidRDefault="00902CDA" w:rsidP="00902CDA">
            <w:pPr>
              <w:spacing w:after="0"/>
              <w:jc w:val="center"/>
              <w:rPr>
                <w:rFonts w:cstheme="minorHAnsi"/>
                <w:color w:val="FFFFFF" w:themeColor="background1"/>
                <w:sz w:val="2"/>
                <w:szCs w:val="18"/>
              </w:rPr>
            </w:pPr>
            <w:r w:rsidRPr="00296E53">
              <w:rPr>
                <w:rFonts w:asciiTheme="majorHAnsi" w:hAnsiTheme="majorHAnsi" w:cstheme="majorHAnsi"/>
                <w:b/>
                <w:bCs/>
                <w:color w:val="0079BF"/>
                <w:sz w:val="36"/>
                <w:szCs w:val="36"/>
              </w:rPr>
              <w:t>ACTUALIZACIÓN NORMATIVA</w:t>
            </w:r>
          </w:p>
        </w:tc>
      </w:tr>
      <w:tr w:rsidR="005853B3" w:rsidRPr="00296E53" w14:paraId="5912789B" w14:textId="77777777" w:rsidTr="00546277">
        <w:trPr>
          <w:trHeight w:val="53"/>
        </w:trPr>
        <w:tc>
          <w:tcPr>
            <w:tcW w:w="4967" w:type="dxa"/>
            <w:shd w:val="clear" w:color="auto" w:fill="1F3864" w:themeFill="accent5" w:themeFillShade="80"/>
          </w:tcPr>
          <w:p w14:paraId="442E0722" w14:textId="77777777" w:rsidR="005853B3" w:rsidRPr="00296E53" w:rsidRDefault="005853B3" w:rsidP="00546277">
            <w:pPr>
              <w:rPr>
                <w:rFonts w:cstheme="minorHAnsi"/>
                <w:color w:val="FFFFFF" w:themeColor="background1"/>
                <w:sz w:val="2"/>
                <w:szCs w:val="18"/>
              </w:rPr>
            </w:pPr>
          </w:p>
        </w:tc>
        <w:tc>
          <w:tcPr>
            <w:tcW w:w="7796" w:type="dxa"/>
            <w:shd w:val="clear" w:color="auto" w:fill="FFFFFF" w:themeFill="background1"/>
          </w:tcPr>
          <w:p w14:paraId="34D48C2D" w14:textId="77777777" w:rsidR="005853B3" w:rsidRPr="00296E53" w:rsidRDefault="005853B3" w:rsidP="00546277">
            <w:pPr>
              <w:rPr>
                <w:rFonts w:cstheme="minorHAnsi"/>
                <w:color w:val="FFFFFF" w:themeColor="background1"/>
                <w:sz w:val="2"/>
                <w:szCs w:val="18"/>
              </w:rPr>
            </w:pPr>
          </w:p>
        </w:tc>
      </w:tr>
      <w:tr w:rsidR="005853B3" w:rsidRPr="00296E53" w14:paraId="44757C80" w14:textId="77777777" w:rsidTr="00546277">
        <w:trPr>
          <w:trHeight w:val="201"/>
        </w:trPr>
        <w:tc>
          <w:tcPr>
            <w:tcW w:w="4967" w:type="dxa"/>
            <w:shd w:val="clear" w:color="auto" w:fill="0079BF"/>
          </w:tcPr>
          <w:p w14:paraId="34A9BF7B" w14:textId="77777777" w:rsidR="005853B3" w:rsidRPr="00296E53" w:rsidRDefault="005853B3" w:rsidP="00546277">
            <w:pPr>
              <w:rPr>
                <w:rFonts w:cstheme="minorHAnsi"/>
                <w:color w:val="FFFFFF" w:themeColor="background1"/>
                <w:sz w:val="2"/>
                <w:szCs w:val="12"/>
              </w:rPr>
            </w:pPr>
          </w:p>
        </w:tc>
        <w:tc>
          <w:tcPr>
            <w:tcW w:w="7796" w:type="dxa"/>
            <w:shd w:val="clear" w:color="auto" w:fill="0079BF"/>
          </w:tcPr>
          <w:p w14:paraId="6F239E1C" w14:textId="77777777" w:rsidR="005853B3" w:rsidRPr="00296E53" w:rsidRDefault="005853B3" w:rsidP="00546277">
            <w:pPr>
              <w:rPr>
                <w:rFonts w:cstheme="minorHAnsi"/>
                <w:color w:val="FFFFFF" w:themeColor="background1"/>
                <w:sz w:val="2"/>
                <w:szCs w:val="12"/>
              </w:rPr>
            </w:pPr>
          </w:p>
        </w:tc>
      </w:tr>
    </w:tbl>
    <w:p w14:paraId="6A361CBB" w14:textId="77777777" w:rsidR="005853B3" w:rsidRPr="00296E53" w:rsidRDefault="005853B3" w:rsidP="005853B3">
      <w:pPr>
        <w:spacing w:after="120"/>
        <w:rPr>
          <w:rFonts w:ascii="Century Gothic" w:hAnsi="Century Gothic"/>
        </w:rPr>
      </w:pPr>
    </w:p>
    <w:p w14:paraId="38F910CB" w14:textId="77777777" w:rsidR="00DF2449" w:rsidRPr="00296E53" w:rsidRDefault="00DF2449" w:rsidP="00DF2449">
      <w:pPr>
        <w:pStyle w:val="Ttulo1"/>
        <w:rPr>
          <w:rFonts w:ascii="Century Gothic" w:eastAsiaTheme="minorHAnsi" w:hAnsi="Century Gothic" w:cstheme="minorBidi"/>
          <w:b/>
          <w:color w:val="auto"/>
          <w:sz w:val="22"/>
          <w:szCs w:val="22"/>
        </w:rPr>
      </w:pPr>
      <w:bookmarkStart w:id="5" w:name="_Toc65502223"/>
      <w:r w:rsidRPr="00296E53">
        <w:rPr>
          <w:rFonts w:ascii="Century Gothic" w:eastAsiaTheme="minorHAnsi" w:hAnsi="Century Gothic" w:cstheme="minorBidi"/>
          <w:b/>
          <w:color w:val="auto"/>
          <w:sz w:val="22"/>
          <w:szCs w:val="22"/>
        </w:rPr>
        <w:t>Norma para el Aseguramiento de la Calidad</w:t>
      </w:r>
      <w:bookmarkEnd w:id="5"/>
      <w:r w:rsidRPr="00296E53">
        <w:rPr>
          <w:rFonts w:ascii="Century Gothic" w:eastAsiaTheme="minorHAnsi" w:hAnsi="Century Gothic" w:cstheme="minorBidi"/>
          <w:b/>
          <w:color w:val="auto"/>
          <w:sz w:val="22"/>
          <w:szCs w:val="22"/>
        </w:rPr>
        <w:t xml:space="preserve"> </w:t>
      </w:r>
    </w:p>
    <w:p w14:paraId="460613F0" w14:textId="16E33C0A" w:rsidR="003C08B7" w:rsidRPr="00296E53" w:rsidRDefault="003C08B7" w:rsidP="00DF2449">
      <w:pPr>
        <w:spacing w:before="120" w:after="120"/>
        <w:jc w:val="both"/>
        <w:rPr>
          <w:rFonts w:ascii="Century Gothic" w:hAnsi="Century Gothic"/>
          <w:sz w:val="19"/>
          <w:szCs w:val="19"/>
        </w:rPr>
      </w:pPr>
      <w:r w:rsidRPr="00296E53">
        <w:rPr>
          <w:rFonts w:ascii="Century Gothic" w:hAnsi="Century Gothic"/>
          <w:sz w:val="19"/>
          <w:szCs w:val="19"/>
        </w:rPr>
        <w:t>Cuando se emitió la Norma Técnica del Proceso de Producción de Información Estadística y Geográfica para el INEGI</w:t>
      </w:r>
      <w:r w:rsidRPr="00296E53">
        <w:rPr>
          <w:rStyle w:val="Refdenotaalpie"/>
          <w:rFonts w:ascii="Century Gothic" w:hAnsi="Century Gothic"/>
          <w:sz w:val="19"/>
          <w:szCs w:val="19"/>
        </w:rPr>
        <w:footnoteReference w:id="6"/>
      </w:r>
      <w:r w:rsidRPr="00296E53">
        <w:rPr>
          <w:rFonts w:ascii="Century Gothic" w:hAnsi="Century Gothic"/>
          <w:sz w:val="19"/>
          <w:szCs w:val="19"/>
        </w:rPr>
        <w:t xml:space="preserve"> (Norma MPEG) se generó duplicidad con algunos artículos de la Norma de Aseguramiento de la Calidad de 2015 donde se establecían entregables para el proceso de producción de información. Con el fin de evitar confusión y duplicidad normativa se propuso una nueva norma que se basara en el Sistema de Gestión de Calidad.</w:t>
      </w:r>
    </w:p>
    <w:p w14:paraId="7237B002" w14:textId="268319DC" w:rsidR="00DF2449" w:rsidRPr="00296E53" w:rsidRDefault="003C08B7" w:rsidP="00DF2449">
      <w:pPr>
        <w:spacing w:before="120" w:after="120"/>
        <w:jc w:val="both"/>
        <w:rPr>
          <w:rFonts w:ascii="Century Gothic" w:hAnsi="Century Gothic"/>
          <w:sz w:val="19"/>
          <w:szCs w:val="19"/>
        </w:rPr>
      </w:pPr>
      <w:r w:rsidRPr="00296E53">
        <w:rPr>
          <w:rFonts w:ascii="Century Gothic" w:hAnsi="Century Gothic"/>
          <w:sz w:val="19"/>
          <w:szCs w:val="19"/>
        </w:rPr>
        <w:t xml:space="preserve">Si bien los Principios y Directrices de Calidad establecen los objetivos de calidad, la Norma para el Aseguramiento de la Calidad establece las actividades que se deben desarrollar para </w:t>
      </w:r>
      <w:r w:rsidR="0011425A" w:rsidRPr="00296E53">
        <w:rPr>
          <w:rFonts w:ascii="Century Gothic" w:hAnsi="Century Gothic"/>
          <w:sz w:val="19"/>
          <w:szCs w:val="19"/>
        </w:rPr>
        <w:t xml:space="preserve">mejorar </w:t>
      </w:r>
      <w:r w:rsidRPr="00296E53">
        <w:rPr>
          <w:rFonts w:ascii="Century Gothic" w:hAnsi="Century Gothic"/>
          <w:sz w:val="19"/>
          <w:szCs w:val="19"/>
        </w:rPr>
        <w:t>la calidad.</w:t>
      </w:r>
      <w:r w:rsidR="00F642F6">
        <w:rPr>
          <w:rFonts w:ascii="Century Gothic" w:hAnsi="Century Gothic"/>
          <w:sz w:val="19"/>
          <w:szCs w:val="19"/>
        </w:rPr>
        <w:t xml:space="preserve"> </w:t>
      </w:r>
      <w:r w:rsidRPr="00296E53">
        <w:rPr>
          <w:rFonts w:ascii="Century Gothic" w:hAnsi="Century Gothic"/>
          <w:sz w:val="19"/>
          <w:szCs w:val="19"/>
        </w:rPr>
        <w:t>Estas actividades corresponden a un sistema de gestión de calidad que</w:t>
      </w:r>
      <w:r w:rsidR="0011425A" w:rsidRPr="00296E53">
        <w:rPr>
          <w:rFonts w:ascii="Century Gothic" w:hAnsi="Century Gothic"/>
          <w:sz w:val="19"/>
          <w:szCs w:val="19"/>
        </w:rPr>
        <w:t>,</w:t>
      </w:r>
      <w:r w:rsidRPr="00296E53">
        <w:rPr>
          <w:rFonts w:ascii="Century Gothic" w:hAnsi="Century Gothic"/>
          <w:sz w:val="19"/>
          <w:szCs w:val="19"/>
        </w:rPr>
        <w:t xml:space="preserve"> en el caso del INEGI</w:t>
      </w:r>
      <w:r w:rsidR="0011425A" w:rsidRPr="00296E53">
        <w:rPr>
          <w:rFonts w:ascii="Century Gothic" w:hAnsi="Century Gothic"/>
          <w:sz w:val="19"/>
          <w:szCs w:val="19"/>
        </w:rPr>
        <w:t>,</w:t>
      </w:r>
      <w:r w:rsidRPr="00296E53">
        <w:rPr>
          <w:rFonts w:ascii="Century Gothic" w:hAnsi="Century Gothic"/>
          <w:sz w:val="19"/>
          <w:szCs w:val="19"/>
        </w:rPr>
        <w:t xml:space="preserve"> se ha definido como estandarización, evaluación y mejora</w:t>
      </w:r>
      <w:r w:rsidR="0011425A" w:rsidRPr="00296E53">
        <w:rPr>
          <w:rFonts w:ascii="Century Gothic" w:hAnsi="Century Gothic"/>
          <w:sz w:val="19"/>
          <w:szCs w:val="19"/>
        </w:rPr>
        <w:t>,</w:t>
      </w:r>
      <w:r w:rsidRPr="00296E53">
        <w:rPr>
          <w:rFonts w:ascii="Century Gothic" w:hAnsi="Century Gothic"/>
          <w:sz w:val="19"/>
          <w:szCs w:val="19"/>
        </w:rPr>
        <w:t xml:space="preserve"> y que es congruente con las estrategias y las metas definidas por el Comité.  </w:t>
      </w:r>
    </w:p>
    <w:p w14:paraId="5D68240D" w14:textId="0E83D8AD" w:rsidR="00C20FDA" w:rsidRPr="00296E53" w:rsidRDefault="003C08B7" w:rsidP="00995501">
      <w:pPr>
        <w:spacing w:after="120"/>
        <w:jc w:val="both"/>
        <w:rPr>
          <w:rFonts w:ascii="Century Gothic" w:hAnsi="Century Gothic"/>
          <w:sz w:val="19"/>
          <w:szCs w:val="19"/>
        </w:rPr>
      </w:pPr>
      <w:r w:rsidRPr="00296E53">
        <w:rPr>
          <w:rFonts w:ascii="Century Gothic" w:hAnsi="Century Gothic"/>
          <w:sz w:val="19"/>
          <w:szCs w:val="19"/>
        </w:rPr>
        <w:t xml:space="preserve">De esta manera, el capítulo </w:t>
      </w:r>
      <w:r w:rsidR="0011425A" w:rsidRPr="00296E53">
        <w:rPr>
          <w:rFonts w:ascii="Century Gothic" w:hAnsi="Century Gothic"/>
          <w:sz w:val="19"/>
          <w:szCs w:val="19"/>
        </w:rPr>
        <w:t xml:space="preserve">segundo </w:t>
      </w:r>
      <w:r w:rsidRPr="00296E53">
        <w:rPr>
          <w:rFonts w:ascii="Century Gothic" w:hAnsi="Century Gothic"/>
          <w:sz w:val="19"/>
          <w:szCs w:val="19"/>
        </w:rPr>
        <w:t xml:space="preserve">busca acentuar las obligaciones en la estandarización del proceso, relacionar los procesos transversales con el proceso de producción y generar sinergias para alcanzar la comparabilidad de la información (interoperabilidad, infraestructura).  El capítulo </w:t>
      </w:r>
      <w:r w:rsidR="00C577EB" w:rsidRPr="00296E53">
        <w:rPr>
          <w:rFonts w:ascii="Century Gothic" w:hAnsi="Century Gothic"/>
          <w:sz w:val="19"/>
          <w:szCs w:val="19"/>
        </w:rPr>
        <w:t>tercero</w:t>
      </w:r>
      <w:r w:rsidRPr="00296E53">
        <w:rPr>
          <w:rFonts w:ascii="Century Gothic" w:hAnsi="Century Gothic"/>
          <w:sz w:val="19"/>
          <w:szCs w:val="19"/>
        </w:rPr>
        <w:t xml:space="preserve"> establece </w:t>
      </w:r>
      <w:r w:rsidR="00C577EB" w:rsidRPr="00296E53">
        <w:rPr>
          <w:rFonts w:ascii="Century Gothic" w:hAnsi="Century Gothic"/>
          <w:sz w:val="19"/>
          <w:szCs w:val="19"/>
        </w:rPr>
        <w:t xml:space="preserve">qué y cuándo se debe evaluar, quién debe llevar a cabo las evaluaciones y dónde se deben reportar. El capítulo </w:t>
      </w:r>
      <w:r w:rsidR="0011425A" w:rsidRPr="00296E53">
        <w:rPr>
          <w:rFonts w:ascii="Century Gothic" w:hAnsi="Century Gothic"/>
          <w:sz w:val="19"/>
          <w:szCs w:val="19"/>
        </w:rPr>
        <w:t xml:space="preserve">cuarto </w:t>
      </w:r>
      <w:r w:rsidR="00C577EB" w:rsidRPr="00296E53">
        <w:rPr>
          <w:rFonts w:ascii="Century Gothic" w:hAnsi="Century Gothic"/>
          <w:sz w:val="19"/>
          <w:szCs w:val="19"/>
        </w:rPr>
        <w:t>busca fortalecer la mejora continua a través de la documentación y medición de los cambios</w:t>
      </w:r>
      <w:r w:rsidR="00F642F6">
        <w:rPr>
          <w:rFonts w:ascii="Century Gothic" w:hAnsi="Century Gothic"/>
          <w:sz w:val="19"/>
          <w:szCs w:val="19"/>
        </w:rPr>
        <w:t>,</w:t>
      </w:r>
      <w:r w:rsidR="00C577EB" w:rsidRPr="00296E53">
        <w:rPr>
          <w:rFonts w:ascii="Century Gothic" w:hAnsi="Century Gothic"/>
          <w:sz w:val="19"/>
          <w:szCs w:val="19"/>
        </w:rPr>
        <w:t xml:space="preserve"> así como de actividades de difusión y capacitación.</w:t>
      </w:r>
      <w:r w:rsidR="00F642F6">
        <w:rPr>
          <w:rFonts w:ascii="Century Gothic" w:hAnsi="Century Gothic"/>
          <w:sz w:val="19"/>
          <w:szCs w:val="19"/>
        </w:rPr>
        <w:t xml:space="preserve"> </w:t>
      </w:r>
      <w:r w:rsidR="00C577EB" w:rsidRPr="00296E53">
        <w:rPr>
          <w:rFonts w:ascii="Century Gothic" w:hAnsi="Century Gothic"/>
          <w:sz w:val="19"/>
          <w:szCs w:val="19"/>
        </w:rPr>
        <w:t>Por último, el capítulo quinto establece las atribuciones y funcionamiento del Comité de Aseguramiento de la Calidad.</w:t>
      </w:r>
    </w:p>
    <w:p w14:paraId="7F3BF324" w14:textId="77777777" w:rsidR="00F66626" w:rsidRPr="00296E53" w:rsidRDefault="00F66626" w:rsidP="00995501">
      <w:pPr>
        <w:spacing w:after="120"/>
        <w:jc w:val="both"/>
        <w:rPr>
          <w:rFonts w:ascii="Century Gothic" w:hAnsi="Century Gothic"/>
          <w:sz w:val="19"/>
          <w:szCs w:val="19"/>
        </w:rPr>
      </w:pPr>
    </w:p>
    <w:tbl>
      <w:tblPr>
        <w:tblW w:w="10942" w:type="dxa"/>
        <w:jc w:val="center"/>
        <w:tblLook w:val="04A0" w:firstRow="1" w:lastRow="0" w:firstColumn="1" w:lastColumn="0" w:noHBand="0" w:noVBand="1"/>
      </w:tblPr>
      <w:tblGrid>
        <w:gridCol w:w="548"/>
        <w:gridCol w:w="10961"/>
      </w:tblGrid>
      <w:tr w:rsidR="007F73A2" w:rsidRPr="00296E53" w14:paraId="226C9071" w14:textId="77777777" w:rsidTr="007F73A2">
        <w:trPr>
          <w:cantSplit/>
          <w:trHeight w:val="3405"/>
          <w:jc w:val="center"/>
        </w:trPr>
        <w:tc>
          <w:tcPr>
            <w:tcW w:w="679" w:type="dxa"/>
            <w:textDirection w:val="btLr"/>
            <w:vAlign w:val="center"/>
          </w:tcPr>
          <w:p w14:paraId="39EBA5EA" w14:textId="77777777" w:rsidR="00C20FDA" w:rsidRPr="00296E53" w:rsidRDefault="00EB022B" w:rsidP="007F73A2">
            <w:pPr>
              <w:spacing w:after="0"/>
              <w:ind w:left="119" w:right="113" w:hanging="6"/>
              <w:jc w:val="center"/>
              <w:rPr>
                <w:rFonts w:ascii="Century Gothic" w:hAnsi="Century Gothic"/>
              </w:rPr>
            </w:pPr>
            <w:r w:rsidRPr="00296E53">
              <w:rPr>
                <w:rFonts w:ascii="Century Gothic" w:hAnsi="Century Gothic"/>
                <w:bCs/>
                <w:caps/>
                <w:color w:val="0079BF"/>
                <w:sz w:val="24"/>
              </w:rPr>
              <w:t xml:space="preserve">CONTENIDO DE LA </w:t>
            </w:r>
            <w:r w:rsidR="00C20FDA" w:rsidRPr="00296E53">
              <w:rPr>
                <w:rFonts w:ascii="Century Gothic" w:hAnsi="Century Gothic"/>
                <w:bCs/>
                <w:caps/>
                <w:color w:val="0079BF"/>
                <w:sz w:val="24"/>
              </w:rPr>
              <w:t xml:space="preserve">NORMA </w:t>
            </w:r>
          </w:p>
        </w:tc>
        <w:tc>
          <w:tcPr>
            <w:tcW w:w="10263" w:type="dxa"/>
            <w:vAlign w:val="center"/>
          </w:tcPr>
          <w:p w14:paraId="2048C2F9" w14:textId="77777777" w:rsidR="00C20FDA" w:rsidRPr="00296E53" w:rsidRDefault="00571E62" w:rsidP="00546277">
            <w:pPr>
              <w:spacing w:after="120"/>
              <w:jc w:val="right"/>
              <w:rPr>
                <w:rFonts w:ascii="Century Gothic" w:hAnsi="Century Gothic"/>
              </w:rPr>
            </w:pPr>
            <w:r w:rsidRPr="00296E53">
              <w:rPr>
                <w:rFonts w:ascii="Century Gothic" w:hAnsi="Century Gothic"/>
                <w:noProof/>
                <w:lang w:eastAsia="es-MX"/>
              </w:rPr>
              <w:drawing>
                <wp:inline distT="0" distB="0" distL="0" distR="0" wp14:anchorId="0E9091F9" wp14:editId="5B3CB2BB">
                  <wp:extent cx="6823600" cy="3637481"/>
                  <wp:effectExtent l="0" t="0" r="0" b="12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3070" cy="3647860"/>
                          </a:xfrm>
                          <a:prstGeom prst="rect">
                            <a:avLst/>
                          </a:prstGeom>
                          <a:noFill/>
                          <a:ln>
                            <a:noFill/>
                          </a:ln>
                        </pic:spPr>
                      </pic:pic>
                    </a:graphicData>
                  </a:graphic>
                </wp:inline>
              </w:drawing>
            </w:r>
          </w:p>
        </w:tc>
      </w:tr>
    </w:tbl>
    <w:p w14:paraId="39EE0B8E" w14:textId="77777777" w:rsidR="00231318" w:rsidRPr="00296E53" w:rsidRDefault="00231318">
      <w:pPr>
        <w:rPr>
          <w:rFonts w:ascii="Century Gothic" w:hAnsi="Century Gothic"/>
        </w:rPr>
      </w:pPr>
      <w:r w:rsidRPr="00296E53">
        <w:rPr>
          <w:rFonts w:ascii="Century Gothic" w:hAnsi="Century Gothic"/>
        </w:rPr>
        <w:br w:type="page"/>
      </w:r>
    </w:p>
    <w:tbl>
      <w:tblPr>
        <w:tblW w:w="12763" w:type="dxa"/>
        <w:tblInd w:w="-1139" w:type="dxa"/>
        <w:tblLook w:val="04A0" w:firstRow="1" w:lastRow="0" w:firstColumn="1" w:lastColumn="0" w:noHBand="0" w:noVBand="1"/>
      </w:tblPr>
      <w:tblGrid>
        <w:gridCol w:w="4820"/>
        <w:gridCol w:w="7943"/>
      </w:tblGrid>
      <w:tr w:rsidR="00AD151D" w:rsidRPr="00296E53" w14:paraId="64221409" w14:textId="77777777" w:rsidTr="00546277">
        <w:trPr>
          <w:trHeight w:val="433"/>
        </w:trPr>
        <w:tc>
          <w:tcPr>
            <w:tcW w:w="4820" w:type="dxa"/>
            <w:shd w:val="clear" w:color="auto" w:fill="auto"/>
          </w:tcPr>
          <w:p w14:paraId="7C3E0B84" w14:textId="77777777" w:rsidR="00AD151D" w:rsidRPr="00296E53" w:rsidRDefault="00AD151D" w:rsidP="00546277">
            <w:pPr>
              <w:rPr>
                <w:rFonts w:cstheme="minorHAnsi"/>
                <w:color w:val="0079BF"/>
                <w:sz w:val="2"/>
                <w:szCs w:val="18"/>
              </w:rPr>
            </w:pPr>
          </w:p>
        </w:tc>
        <w:tc>
          <w:tcPr>
            <w:tcW w:w="7943" w:type="dxa"/>
            <w:shd w:val="clear" w:color="auto" w:fill="auto"/>
          </w:tcPr>
          <w:p w14:paraId="734CCB59" w14:textId="77777777" w:rsidR="00AD151D" w:rsidRPr="00296E53" w:rsidRDefault="00AD151D" w:rsidP="00546277">
            <w:pPr>
              <w:spacing w:after="0"/>
              <w:jc w:val="center"/>
              <w:rPr>
                <w:rFonts w:cstheme="minorHAnsi"/>
                <w:color w:val="0079BF"/>
                <w:sz w:val="40"/>
                <w:szCs w:val="160"/>
              </w:rPr>
            </w:pPr>
            <w:r w:rsidRPr="00296E53">
              <w:rPr>
                <w:rFonts w:cstheme="minorHAnsi"/>
                <w:color w:val="0079BF"/>
                <w:sz w:val="2"/>
                <w:szCs w:val="18"/>
              </w:rPr>
              <w:t>A</w:t>
            </w:r>
            <w:r w:rsidRPr="00296E53">
              <w:rPr>
                <w:rFonts w:cstheme="minorHAnsi"/>
                <w:color w:val="0079BF"/>
                <w:sz w:val="36"/>
                <w:szCs w:val="144"/>
              </w:rPr>
              <w:t>ESTANDARIZACIÓN DE PROCESOS</w:t>
            </w:r>
          </w:p>
        </w:tc>
      </w:tr>
      <w:tr w:rsidR="00AD151D" w:rsidRPr="00296E53" w14:paraId="43E5D51D" w14:textId="77777777" w:rsidTr="00546277">
        <w:trPr>
          <w:trHeight w:val="201"/>
        </w:trPr>
        <w:tc>
          <w:tcPr>
            <w:tcW w:w="4820" w:type="dxa"/>
            <w:shd w:val="clear" w:color="auto" w:fill="1F3864" w:themeFill="accent5" w:themeFillShade="80"/>
          </w:tcPr>
          <w:p w14:paraId="0A677D1B" w14:textId="77777777" w:rsidR="00AD151D" w:rsidRPr="00296E53" w:rsidRDefault="00AD151D" w:rsidP="00546277">
            <w:pPr>
              <w:rPr>
                <w:rFonts w:cstheme="minorHAnsi"/>
                <w:color w:val="FFFFFF" w:themeColor="background1"/>
                <w:sz w:val="2"/>
                <w:szCs w:val="18"/>
              </w:rPr>
            </w:pPr>
          </w:p>
        </w:tc>
        <w:tc>
          <w:tcPr>
            <w:tcW w:w="7943" w:type="dxa"/>
            <w:shd w:val="clear" w:color="auto" w:fill="auto"/>
          </w:tcPr>
          <w:p w14:paraId="3F37347F" w14:textId="77777777" w:rsidR="00AD151D" w:rsidRPr="00296E53" w:rsidRDefault="00AD151D" w:rsidP="00546277">
            <w:pPr>
              <w:rPr>
                <w:rFonts w:cstheme="minorHAnsi"/>
                <w:color w:val="FFFFFF" w:themeColor="background1"/>
                <w:sz w:val="2"/>
                <w:szCs w:val="18"/>
              </w:rPr>
            </w:pPr>
          </w:p>
        </w:tc>
      </w:tr>
      <w:tr w:rsidR="00AD151D" w:rsidRPr="00296E53" w14:paraId="2B9AB271" w14:textId="77777777" w:rsidTr="00546277">
        <w:trPr>
          <w:trHeight w:val="201"/>
        </w:trPr>
        <w:tc>
          <w:tcPr>
            <w:tcW w:w="4820" w:type="dxa"/>
            <w:shd w:val="clear" w:color="auto" w:fill="0079BF"/>
          </w:tcPr>
          <w:p w14:paraId="632D7F5E" w14:textId="77777777" w:rsidR="00AD151D" w:rsidRPr="00296E53" w:rsidRDefault="00AD151D" w:rsidP="00546277">
            <w:pPr>
              <w:rPr>
                <w:rFonts w:cstheme="minorHAnsi"/>
                <w:color w:val="FFFFFF" w:themeColor="background1"/>
                <w:sz w:val="2"/>
                <w:szCs w:val="18"/>
              </w:rPr>
            </w:pPr>
          </w:p>
        </w:tc>
        <w:tc>
          <w:tcPr>
            <w:tcW w:w="7943" w:type="dxa"/>
            <w:shd w:val="clear" w:color="auto" w:fill="0079BF"/>
          </w:tcPr>
          <w:p w14:paraId="637C1E13" w14:textId="77777777" w:rsidR="00AD151D" w:rsidRPr="00296E53" w:rsidRDefault="00AD151D" w:rsidP="00546277">
            <w:pPr>
              <w:rPr>
                <w:rFonts w:cstheme="minorHAnsi"/>
                <w:color w:val="FFFFFF" w:themeColor="background1"/>
                <w:sz w:val="2"/>
                <w:szCs w:val="18"/>
              </w:rPr>
            </w:pPr>
          </w:p>
        </w:tc>
      </w:tr>
    </w:tbl>
    <w:p w14:paraId="68BC7656" w14:textId="77777777" w:rsidR="00AD151D" w:rsidRPr="00296E53" w:rsidRDefault="00AD151D" w:rsidP="0086702A">
      <w:pPr>
        <w:spacing w:after="0"/>
        <w:ind w:left="2694" w:hanging="2694"/>
        <w:rPr>
          <w:rFonts w:ascii="Century Gothic" w:hAnsi="Century Gothic"/>
          <w:b/>
        </w:rPr>
      </w:pPr>
    </w:p>
    <w:p w14:paraId="2114A08E" w14:textId="77777777" w:rsidR="00F81DEF" w:rsidRPr="00296E53" w:rsidRDefault="00F81DEF" w:rsidP="00FB19BB">
      <w:pPr>
        <w:pStyle w:val="Ttulo1"/>
        <w:spacing w:before="0" w:after="120"/>
        <w:ind w:left="2835" w:hanging="2835"/>
        <w:rPr>
          <w:rFonts w:ascii="Century Gothic" w:eastAsiaTheme="minorHAnsi" w:hAnsi="Century Gothic" w:cstheme="minorBidi"/>
          <w:b/>
          <w:color w:val="auto"/>
          <w:sz w:val="22"/>
          <w:szCs w:val="22"/>
        </w:rPr>
      </w:pPr>
      <w:bookmarkStart w:id="6" w:name="_Toc65502224"/>
      <w:r w:rsidRPr="00296E53">
        <w:rPr>
          <w:rFonts w:ascii="Century Gothic" w:eastAsiaTheme="minorHAnsi" w:hAnsi="Century Gothic" w:cstheme="minorBidi"/>
          <w:b/>
          <w:color w:val="auto"/>
          <w:sz w:val="22"/>
          <w:szCs w:val="22"/>
        </w:rPr>
        <w:t>Actividad estratégica 1</w:t>
      </w:r>
      <w:r w:rsidR="00BE417D" w:rsidRPr="00296E53">
        <w:rPr>
          <w:rFonts w:ascii="Century Gothic" w:eastAsiaTheme="minorHAnsi" w:hAnsi="Century Gothic" w:cstheme="minorBidi"/>
          <w:b/>
          <w:color w:val="auto"/>
          <w:sz w:val="22"/>
          <w:szCs w:val="22"/>
        </w:rPr>
        <w:t xml:space="preserve">: </w:t>
      </w:r>
      <w:r w:rsidR="003F4D43" w:rsidRPr="00296E53">
        <w:rPr>
          <w:rFonts w:ascii="Century Gothic" w:eastAsiaTheme="minorHAnsi" w:hAnsi="Century Gothic" w:cstheme="minorBidi"/>
          <w:b/>
          <w:color w:val="auto"/>
          <w:sz w:val="22"/>
          <w:szCs w:val="22"/>
        </w:rPr>
        <w:tab/>
      </w:r>
      <w:r w:rsidR="00BE417D" w:rsidRPr="00296E53">
        <w:rPr>
          <w:rFonts w:ascii="Century Gothic" w:eastAsiaTheme="minorHAnsi" w:hAnsi="Century Gothic" w:cstheme="minorBidi"/>
          <w:b/>
          <w:color w:val="auto"/>
          <w:sz w:val="22"/>
          <w:szCs w:val="22"/>
        </w:rPr>
        <w:t>Establecer controles de calidad en procesos estandarizados y documentados</w:t>
      </w:r>
      <w:bookmarkEnd w:id="6"/>
    </w:p>
    <w:tbl>
      <w:tblPr>
        <w:tblW w:w="11199" w:type="dxa"/>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1199"/>
      </w:tblGrid>
      <w:tr w:rsidR="00A47C5F" w:rsidRPr="00296E53" w14:paraId="3589C7C8" w14:textId="77777777" w:rsidTr="00A47C5F">
        <w:trPr>
          <w:jc w:val="center"/>
        </w:trPr>
        <w:tc>
          <w:tcPr>
            <w:tcW w:w="11199" w:type="dxa"/>
            <w:shd w:val="clear" w:color="auto" w:fill="C5EAFF"/>
          </w:tcPr>
          <w:p w14:paraId="2F601CDC" w14:textId="77777777" w:rsidR="00A47C5F" w:rsidRPr="00296E53" w:rsidRDefault="00A47C5F" w:rsidP="009F3663">
            <w:pPr>
              <w:pStyle w:val="Default"/>
              <w:spacing w:after="120"/>
              <w:jc w:val="center"/>
              <w:rPr>
                <w:rFonts w:ascii="Century Gothic" w:hAnsi="Century Gothic"/>
                <w:color w:val="404040" w:themeColor="text1" w:themeTint="BF"/>
                <w:sz w:val="18"/>
                <w:szCs w:val="20"/>
                <w:lang w:val="es-MX"/>
              </w:rPr>
            </w:pPr>
            <w:r w:rsidRPr="00296E53">
              <w:rPr>
                <w:rFonts w:ascii="Century Gothic" w:hAnsi="Century Gothic"/>
                <w:b/>
                <w:bCs/>
                <w:color w:val="404040" w:themeColor="text1" w:themeTint="BF"/>
                <w:sz w:val="18"/>
                <w:szCs w:val="20"/>
                <w:lang w:val="es-MX"/>
              </w:rPr>
              <w:t xml:space="preserve">Metas 2020-2022: </w:t>
            </w:r>
          </w:p>
          <w:p w14:paraId="15400362" w14:textId="77777777" w:rsidR="0039699B" w:rsidRPr="00296E53" w:rsidRDefault="00A47C5F" w:rsidP="0039699B">
            <w:pPr>
              <w:pStyle w:val="Default"/>
              <w:spacing w:after="120"/>
              <w:ind w:left="178" w:hanging="178"/>
              <w:rPr>
                <w:rFonts w:ascii="Century Gothic" w:hAnsi="Century Gothic"/>
                <w:color w:val="404040" w:themeColor="text1" w:themeTint="BF"/>
                <w:sz w:val="18"/>
                <w:szCs w:val="20"/>
                <w:lang w:val="es-MX"/>
              </w:rPr>
            </w:pPr>
            <w:r w:rsidRPr="00296E53">
              <w:rPr>
                <w:rFonts w:ascii="Century Gothic" w:hAnsi="Century Gothic"/>
                <w:color w:val="404040" w:themeColor="text1" w:themeTint="BF"/>
                <w:sz w:val="18"/>
                <w:szCs w:val="20"/>
                <w:lang w:val="es-MX"/>
              </w:rPr>
              <w:t xml:space="preserve">• </w:t>
            </w:r>
            <w:r w:rsidR="0039699B" w:rsidRPr="00296E53">
              <w:rPr>
                <w:rFonts w:ascii="Century Gothic" w:hAnsi="Century Gothic"/>
                <w:color w:val="404040" w:themeColor="text1" w:themeTint="BF"/>
                <w:sz w:val="18"/>
                <w:szCs w:val="20"/>
                <w:lang w:val="es-MX"/>
              </w:rPr>
              <w:t xml:space="preserve">El 100% de las evidencias del MPEG son recopiladas de forma estandarizada, dependiendo de la naturaleza de cada fase. </w:t>
            </w:r>
          </w:p>
          <w:p w14:paraId="53CE89D0" w14:textId="77777777" w:rsidR="00A47C5F" w:rsidRPr="00296E53" w:rsidRDefault="0039699B" w:rsidP="0039699B">
            <w:pPr>
              <w:pStyle w:val="Default"/>
              <w:spacing w:after="120"/>
              <w:ind w:left="182" w:hanging="182"/>
              <w:rPr>
                <w:rFonts w:ascii="Century Gothic" w:hAnsi="Century Gothic"/>
                <w:b/>
                <w:bCs/>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Pr="00296E53">
              <w:rPr>
                <w:rFonts w:ascii="Century Gothic" w:hAnsi="Century Gothic"/>
                <w:color w:val="404040" w:themeColor="text1" w:themeTint="BF"/>
                <w:sz w:val="18"/>
                <w:szCs w:val="20"/>
                <w:lang w:val="es-MX"/>
              </w:rPr>
              <w:tab/>
              <w:t>Se cuenta con indicadores operativos y tableros con el fin de apoyar el control de calidad en el proceso del 100% de los programas de información.</w:t>
            </w:r>
          </w:p>
        </w:tc>
      </w:tr>
    </w:tbl>
    <w:p w14:paraId="01C2079F" w14:textId="77777777" w:rsidR="00A06F08" w:rsidRPr="00296E53" w:rsidRDefault="00647963" w:rsidP="00FB19BB">
      <w:pPr>
        <w:spacing w:before="120" w:after="120"/>
        <w:rPr>
          <w:rFonts w:ascii="Century Gothic" w:hAnsi="Century Gothic"/>
        </w:rPr>
      </w:pPr>
      <w:r w:rsidRPr="00296E53">
        <w:rPr>
          <w:rFonts w:ascii="Century Gothic" w:hAnsi="Century Gothic"/>
        </w:rPr>
        <w:t>Avances:</w:t>
      </w:r>
    </w:p>
    <w:p w14:paraId="0BAB0893" w14:textId="20C42AB0" w:rsidR="00EE2304" w:rsidRPr="00296E53" w:rsidRDefault="000C20C6" w:rsidP="00EE2304">
      <w:pPr>
        <w:numPr>
          <w:ilvl w:val="1"/>
          <w:numId w:val="1"/>
        </w:numPr>
        <w:tabs>
          <w:tab w:val="clear" w:pos="1440"/>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E</w:t>
      </w:r>
      <w:r w:rsidR="000824AC" w:rsidRPr="00296E53">
        <w:rPr>
          <w:rFonts w:ascii="Century Gothic" w:hAnsi="Century Gothic"/>
          <w:sz w:val="19"/>
          <w:szCs w:val="19"/>
        </w:rPr>
        <w:t>n 20</w:t>
      </w:r>
      <w:r w:rsidR="00947A2A" w:rsidRPr="00296E53">
        <w:rPr>
          <w:rFonts w:ascii="Century Gothic" w:hAnsi="Century Gothic"/>
          <w:sz w:val="19"/>
          <w:szCs w:val="19"/>
        </w:rPr>
        <w:t>20, por primera vez se almacenaron las evidencias</w:t>
      </w:r>
      <w:r w:rsidR="000824AC" w:rsidRPr="00296E53">
        <w:rPr>
          <w:rFonts w:ascii="Century Gothic" w:hAnsi="Century Gothic"/>
          <w:sz w:val="19"/>
          <w:szCs w:val="19"/>
        </w:rPr>
        <w:t xml:space="preserve"> establecidas en </w:t>
      </w:r>
      <w:r w:rsidR="00F37A8A" w:rsidRPr="00296E53">
        <w:rPr>
          <w:rFonts w:ascii="Century Gothic" w:hAnsi="Century Gothic"/>
          <w:sz w:val="19"/>
          <w:szCs w:val="19"/>
        </w:rPr>
        <w:t xml:space="preserve">la </w:t>
      </w:r>
      <w:r w:rsidR="00947A2A" w:rsidRPr="00296E53">
        <w:rPr>
          <w:rFonts w:ascii="Century Gothic" w:hAnsi="Century Gothic"/>
          <w:sz w:val="19"/>
          <w:szCs w:val="19"/>
        </w:rPr>
        <w:t>Norma Técnica del Proceso de Producción de Información Estadística y Geográfica para el INEGI</w:t>
      </w:r>
      <w:r w:rsidR="00947A2A" w:rsidRPr="00296E53">
        <w:rPr>
          <w:rStyle w:val="Refdenotaalpie"/>
          <w:rFonts w:ascii="Century Gothic" w:hAnsi="Century Gothic"/>
          <w:sz w:val="19"/>
          <w:szCs w:val="19"/>
        </w:rPr>
        <w:footnoteReference w:id="7"/>
      </w:r>
      <w:r w:rsidR="00947A2A" w:rsidRPr="00296E53">
        <w:rPr>
          <w:rFonts w:ascii="Century Gothic" w:hAnsi="Century Gothic"/>
          <w:sz w:val="19"/>
          <w:szCs w:val="19"/>
        </w:rPr>
        <w:t xml:space="preserve"> (Norma MPEG)</w:t>
      </w:r>
      <w:r w:rsidR="00DA5B29" w:rsidRPr="00296E53">
        <w:rPr>
          <w:rFonts w:ascii="Century Gothic" w:hAnsi="Century Gothic"/>
          <w:sz w:val="19"/>
          <w:szCs w:val="19"/>
        </w:rPr>
        <w:t xml:space="preserve">, </w:t>
      </w:r>
      <w:r w:rsidR="00F21352" w:rsidRPr="00296E53">
        <w:rPr>
          <w:rFonts w:ascii="Century Gothic" w:hAnsi="Century Gothic"/>
          <w:sz w:val="19"/>
          <w:szCs w:val="19"/>
        </w:rPr>
        <w:t>en el sistema P</w:t>
      </w:r>
      <w:r w:rsidR="008F4CC5" w:rsidRPr="00296E53">
        <w:rPr>
          <w:rFonts w:ascii="Century Gothic" w:hAnsi="Century Gothic"/>
          <w:sz w:val="19"/>
          <w:szCs w:val="19"/>
        </w:rPr>
        <w:t>-</w:t>
      </w:r>
      <w:r w:rsidR="0011425A" w:rsidRPr="00296E53">
        <w:rPr>
          <w:rFonts w:ascii="Century Gothic" w:hAnsi="Century Gothic"/>
          <w:sz w:val="19"/>
          <w:szCs w:val="19"/>
        </w:rPr>
        <w:t>T</w:t>
      </w:r>
      <w:r w:rsidR="00F21352" w:rsidRPr="00296E53">
        <w:rPr>
          <w:rFonts w:ascii="Century Gothic" w:hAnsi="Century Gothic"/>
          <w:sz w:val="19"/>
          <w:szCs w:val="19"/>
        </w:rPr>
        <w:t>racking.</w:t>
      </w:r>
    </w:p>
    <w:p w14:paraId="3B74B085" w14:textId="05C95450" w:rsidR="00EE2304" w:rsidRPr="00296E53" w:rsidRDefault="00D4454F" w:rsidP="00EE2304">
      <w:pPr>
        <w:numPr>
          <w:ilvl w:val="1"/>
          <w:numId w:val="1"/>
        </w:numPr>
        <w:tabs>
          <w:tab w:val="clear" w:pos="1440"/>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Se registraron evidencias para los 9</w:t>
      </w:r>
      <w:r w:rsidR="00D22663">
        <w:rPr>
          <w:rFonts w:ascii="Century Gothic" w:hAnsi="Century Gothic"/>
          <w:sz w:val="19"/>
          <w:szCs w:val="19"/>
        </w:rPr>
        <w:t>6</w:t>
      </w:r>
      <w:r w:rsidRPr="00296E53">
        <w:rPr>
          <w:rFonts w:ascii="Century Gothic" w:hAnsi="Century Gothic"/>
          <w:sz w:val="19"/>
          <w:szCs w:val="19"/>
        </w:rPr>
        <w:t xml:space="preserve"> programas de información que desarrollaron alguna fase del proceso desde el inicio de la vigencia de la Norma MPEG (2018).</w:t>
      </w:r>
      <w:r w:rsidR="00EE2304" w:rsidRPr="00296E53">
        <w:rPr>
          <w:rFonts w:ascii="Century Gothic" w:hAnsi="Century Gothic"/>
          <w:sz w:val="19"/>
          <w:szCs w:val="19"/>
        </w:rPr>
        <w:t xml:space="preserve">  </w:t>
      </w:r>
    </w:p>
    <w:p w14:paraId="06A4A2DF" w14:textId="096274A7" w:rsidR="00EE2304" w:rsidRPr="00296E53" w:rsidRDefault="00EE2304" w:rsidP="00EE2304">
      <w:pPr>
        <w:numPr>
          <w:ilvl w:val="1"/>
          <w:numId w:val="1"/>
        </w:numPr>
        <w:tabs>
          <w:tab w:val="clear" w:pos="1440"/>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 xml:space="preserve">A raíz de la integración de este listado se elaboraron los Lineamientos para la Integración y Mantenimiento del Inventario de Programas de Información del INEGI, </w:t>
      </w:r>
      <w:r w:rsidR="00127461" w:rsidRPr="00296E53">
        <w:rPr>
          <w:rFonts w:ascii="Century Gothic" w:hAnsi="Century Gothic"/>
          <w:sz w:val="19"/>
          <w:szCs w:val="19"/>
        </w:rPr>
        <w:t xml:space="preserve">con </w:t>
      </w:r>
      <w:r w:rsidRPr="00296E53">
        <w:rPr>
          <w:rFonts w:ascii="Century Gothic" w:hAnsi="Century Gothic"/>
          <w:sz w:val="19"/>
          <w:szCs w:val="19"/>
        </w:rPr>
        <w:t xml:space="preserve">los cuales </w:t>
      </w:r>
      <w:r w:rsidR="00127461" w:rsidRPr="00296E53">
        <w:rPr>
          <w:rFonts w:ascii="Century Gothic" w:hAnsi="Century Gothic"/>
          <w:sz w:val="19"/>
          <w:szCs w:val="19"/>
        </w:rPr>
        <w:t>se contribuirá a la interoperabilidad entre</w:t>
      </w:r>
      <w:r w:rsidR="00A701C8" w:rsidRPr="00296E53">
        <w:rPr>
          <w:rFonts w:ascii="Century Gothic" w:hAnsi="Century Gothic"/>
          <w:sz w:val="19"/>
          <w:szCs w:val="19"/>
        </w:rPr>
        <w:t xml:space="preserve"> los ámbitos</w:t>
      </w:r>
      <w:r w:rsidR="00127461" w:rsidRPr="00296E53">
        <w:rPr>
          <w:rFonts w:ascii="Century Gothic" w:hAnsi="Century Gothic"/>
          <w:sz w:val="19"/>
          <w:szCs w:val="19"/>
        </w:rPr>
        <w:t xml:space="preserve"> que requieran utilizar el Inventario, como pueden ser el</w:t>
      </w:r>
      <w:r w:rsidR="00A701C8" w:rsidRPr="00296E53">
        <w:rPr>
          <w:rFonts w:ascii="Century Gothic" w:hAnsi="Century Gothic"/>
          <w:sz w:val="19"/>
          <w:szCs w:val="19"/>
        </w:rPr>
        <w:t xml:space="preserve"> programático, presupuestal, costos, gestión documental, gestión de la calidad, resguardo de evidencias, riesgos, entre otros.</w:t>
      </w:r>
    </w:p>
    <w:p w14:paraId="7508F0EB" w14:textId="731C30D2" w:rsidR="007C4939" w:rsidRPr="00296E53" w:rsidRDefault="00F96072" w:rsidP="00F21352">
      <w:pPr>
        <w:numPr>
          <w:ilvl w:val="1"/>
          <w:numId w:val="1"/>
        </w:numPr>
        <w:tabs>
          <w:tab w:val="clear" w:pos="1440"/>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 xml:space="preserve">En </w:t>
      </w:r>
      <w:r w:rsidR="007A3AEB" w:rsidRPr="00296E53">
        <w:rPr>
          <w:rFonts w:ascii="Century Gothic" w:hAnsi="Century Gothic"/>
          <w:sz w:val="19"/>
          <w:szCs w:val="19"/>
        </w:rPr>
        <w:t>2020 las Unidades Administrativas re</w:t>
      </w:r>
      <w:r w:rsidR="00F90083" w:rsidRPr="00296E53">
        <w:rPr>
          <w:rFonts w:ascii="Century Gothic" w:hAnsi="Century Gothic"/>
          <w:sz w:val="19"/>
          <w:szCs w:val="19"/>
        </w:rPr>
        <w:t>gistraron</w:t>
      </w:r>
      <w:r w:rsidR="007A3AEB" w:rsidRPr="00296E53">
        <w:rPr>
          <w:rFonts w:ascii="Century Gothic" w:hAnsi="Century Gothic"/>
          <w:sz w:val="19"/>
          <w:szCs w:val="19"/>
        </w:rPr>
        <w:t xml:space="preserve"> el porcentaje que cada </w:t>
      </w:r>
      <w:proofErr w:type="spellStart"/>
      <w:r w:rsidR="007A3AEB" w:rsidRPr="00296E53">
        <w:rPr>
          <w:rFonts w:ascii="Century Gothic" w:hAnsi="Century Gothic"/>
          <w:sz w:val="19"/>
          <w:szCs w:val="19"/>
        </w:rPr>
        <w:t>macroactividad</w:t>
      </w:r>
      <w:proofErr w:type="spellEnd"/>
      <w:r w:rsidR="007A3AEB" w:rsidRPr="00296E53">
        <w:rPr>
          <w:rFonts w:ascii="Century Gothic" w:hAnsi="Century Gothic"/>
          <w:sz w:val="19"/>
          <w:szCs w:val="19"/>
        </w:rPr>
        <w:t xml:space="preserve"> dedica por programa y por fase del MPEG.</w:t>
      </w:r>
      <w:r w:rsidR="00D36F29">
        <w:rPr>
          <w:rFonts w:ascii="Century Gothic" w:hAnsi="Century Gothic"/>
          <w:sz w:val="19"/>
          <w:szCs w:val="19"/>
        </w:rPr>
        <w:t xml:space="preserve"> </w:t>
      </w:r>
      <w:r w:rsidR="007A3AEB" w:rsidRPr="00296E53">
        <w:rPr>
          <w:rFonts w:ascii="Century Gothic" w:hAnsi="Century Gothic"/>
          <w:sz w:val="19"/>
          <w:szCs w:val="19"/>
        </w:rPr>
        <w:t>Esta actividad se realizó a través d</w:t>
      </w:r>
      <w:r w:rsidRPr="00296E53">
        <w:rPr>
          <w:rFonts w:ascii="Century Gothic" w:hAnsi="Century Gothic"/>
          <w:sz w:val="19"/>
          <w:szCs w:val="19"/>
        </w:rPr>
        <w:t>e</w:t>
      </w:r>
      <w:r w:rsidR="00B97C0A" w:rsidRPr="00296E53">
        <w:rPr>
          <w:rFonts w:ascii="Century Gothic" w:hAnsi="Century Gothic"/>
          <w:sz w:val="19"/>
          <w:szCs w:val="19"/>
        </w:rPr>
        <w:t xml:space="preserve">l </w:t>
      </w:r>
      <w:r w:rsidR="00AA4D1B" w:rsidRPr="00296E53">
        <w:rPr>
          <w:rFonts w:ascii="Century Gothic" w:hAnsi="Century Gothic"/>
          <w:sz w:val="19"/>
          <w:szCs w:val="19"/>
        </w:rPr>
        <w:t>Modelo de Costos por Proceso</w:t>
      </w:r>
      <w:r w:rsidR="00A46EED" w:rsidRPr="00296E53">
        <w:rPr>
          <w:rFonts w:ascii="Century Gothic" w:hAnsi="Century Gothic"/>
          <w:sz w:val="19"/>
          <w:szCs w:val="19"/>
        </w:rPr>
        <w:t xml:space="preserve"> </w:t>
      </w:r>
      <w:r w:rsidR="007A3AEB" w:rsidRPr="00296E53">
        <w:rPr>
          <w:rFonts w:ascii="Century Gothic" w:hAnsi="Century Gothic"/>
          <w:sz w:val="19"/>
          <w:szCs w:val="19"/>
        </w:rPr>
        <w:t>d</w:t>
      </w:r>
      <w:r w:rsidR="00B97C0A" w:rsidRPr="00296E53">
        <w:rPr>
          <w:rFonts w:ascii="Century Gothic" w:hAnsi="Century Gothic"/>
          <w:sz w:val="19"/>
          <w:szCs w:val="19"/>
        </w:rPr>
        <w:t xml:space="preserve">el Sistema de Administración Presupuestal y Financiera </w:t>
      </w:r>
      <w:r w:rsidR="00127461" w:rsidRPr="00296E53">
        <w:rPr>
          <w:rFonts w:ascii="Century Gothic" w:hAnsi="Century Gothic"/>
          <w:sz w:val="19"/>
          <w:szCs w:val="19"/>
        </w:rPr>
        <w:t>(</w:t>
      </w:r>
      <w:r w:rsidR="00B97C0A" w:rsidRPr="00296E53">
        <w:rPr>
          <w:rFonts w:ascii="Century Gothic" w:hAnsi="Century Gothic"/>
          <w:sz w:val="19"/>
          <w:szCs w:val="19"/>
        </w:rPr>
        <w:t>SAPFIN</w:t>
      </w:r>
      <w:r w:rsidR="00127461" w:rsidRPr="00296E53">
        <w:rPr>
          <w:rFonts w:ascii="Century Gothic" w:hAnsi="Century Gothic"/>
          <w:sz w:val="19"/>
          <w:szCs w:val="19"/>
        </w:rPr>
        <w:t>)</w:t>
      </w:r>
      <w:r w:rsidR="00681771" w:rsidRPr="00296E53">
        <w:rPr>
          <w:rFonts w:ascii="Century Gothic" w:hAnsi="Century Gothic"/>
          <w:sz w:val="19"/>
          <w:szCs w:val="19"/>
        </w:rPr>
        <w:t>.</w:t>
      </w:r>
    </w:p>
    <w:p w14:paraId="730F5224" w14:textId="2121D395" w:rsidR="00964C4B" w:rsidRPr="00296E53" w:rsidRDefault="00734130" w:rsidP="00F21352">
      <w:pPr>
        <w:numPr>
          <w:ilvl w:val="1"/>
          <w:numId w:val="1"/>
        </w:numPr>
        <w:tabs>
          <w:tab w:val="clear" w:pos="1440"/>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 xml:space="preserve">En la última </w:t>
      </w:r>
      <w:r w:rsidR="00127461" w:rsidRPr="00296E53">
        <w:rPr>
          <w:rFonts w:ascii="Century Gothic" w:hAnsi="Century Gothic"/>
          <w:sz w:val="19"/>
          <w:szCs w:val="19"/>
        </w:rPr>
        <w:t>s</w:t>
      </w:r>
      <w:r w:rsidRPr="00296E53">
        <w:rPr>
          <w:rFonts w:ascii="Century Gothic" w:hAnsi="Century Gothic"/>
          <w:sz w:val="19"/>
          <w:szCs w:val="19"/>
        </w:rPr>
        <w:t>esión del Comité de Aseguramiento de la Calidad de 2020 se presentaron los avances de cada Unidad Administrativa en la elaboración de indicadores operativos y se decidió que es necesario estandarizar este tipo de indicadores, por lo que se creó un grupo de trabajo para 2021</w:t>
      </w:r>
      <w:r w:rsidR="00932A06" w:rsidRPr="00296E53">
        <w:rPr>
          <w:rFonts w:ascii="Century Gothic" w:hAnsi="Century Gothic"/>
          <w:sz w:val="19"/>
          <w:szCs w:val="19"/>
        </w:rPr>
        <w:t>.</w:t>
      </w:r>
    </w:p>
    <w:p w14:paraId="2DCF2923" w14:textId="77777777" w:rsidR="00647963" w:rsidRPr="00296E53" w:rsidRDefault="00905F46" w:rsidP="00FB19BB">
      <w:pPr>
        <w:spacing w:before="120" w:after="120"/>
        <w:jc w:val="both"/>
        <w:rPr>
          <w:rFonts w:ascii="Century Gothic" w:hAnsi="Century Gothic"/>
        </w:rPr>
      </w:pPr>
      <w:r w:rsidRPr="00296E53">
        <w:rPr>
          <w:rFonts w:ascii="Century Gothic" w:hAnsi="Century Gothic"/>
        </w:rPr>
        <w:t>Retos</w:t>
      </w:r>
      <w:r w:rsidR="00647963" w:rsidRPr="00296E53">
        <w:rPr>
          <w:rFonts w:ascii="Century Gothic" w:hAnsi="Century Gothic"/>
        </w:rPr>
        <w:t>:</w:t>
      </w:r>
    </w:p>
    <w:p w14:paraId="7F69F981" w14:textId="77777777" w:rsidR="001C1128" w:rsidRPr="00296E53" w:rsidRDefault="00A016FE" w:rsidP="00F21352">
      <w:pPr>
        <w:numPr>
          <w:ilvl w:val="1"/>
          <w:numId w:val="1"/>
        </w:numPr>
        <w:tabs>
          <w:tab w:val="clear" w:pos="1440"/>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Registrar las evidencias a través de plantillas que permitan homologar los contenidos</w:t>
      </w:r>
      <w:r w:rsidR="003A5AF2" w:rsidRPr="00296E53">
        <w:rPr>
          <w:rFonts w:ascii="Century Gothic" w:hAnsi="Century Gothic"/>
          <w:sz w:val="19"/>
          <w:szCs w:val="19"/>
        </w:rPr>
        <w:t xml:space="preserve">. </w:t>
      </w:r>
    </w:p>
    <w:p w14:paraId="1F95C93E" w14:textId="77777777" w:rsidR="00FA2FDD" w:rsidRPr="00296E53" w:rsidRDefault="00FA34EE" w:rsidP="00F21352">
      <w:pPr>
        <w:numPr>
          <w:ilvl w:val="1"/>
          <w:numId w:val="1"/>
        </w:numPr>
        <w:tabs>
          <w:tab w:val="clear" w:pos="1440"/>
          <w:tab w:val="num" w:pos="284"/>
        </w:tabs>
        <w:spacing w:after="60"/>
        <w:ind w:left="284" w:hanging="284"/>
        <w:jc w:val="both"/>
        <w:rPr>
          <w:rFonts w:ascii="Century Gothic" w:hAnsi="Century Gothic"/>
        </w:rPr>
      </w:pPr>
      <w:r w:rsidRPr="00296E53">
        <w:rPr>
          <w:rFonts w:ascii="Century Gothic" w:hAnsi="Century Gothic"/>
          <w:sz w:val="19"/>
          <w:szCs w:val="19"/>
        </w:rPr>
        <w:t xml:space="preserve">Definición de indicadores operativos y tableros para reforzar los </w:t>
      </w:r>
      <w:r w:rsidR="00101BE8" w:rsidRPr="00296E53">
        <w:rPr>
          <w:rFonts w:ascii="Century Gothic" w:hAnsi="Century Gothic"/>
          <w:sz w:val="19"/>
          <w:szCs w:val="19"/>
        </w:rPr>
        <w:t>controles de calidad</w:t>
      </w:r>
      <w:r w:rsidR="003A5AF2" w:rsidRPr="00296E53">
        <w:rPr>
          <w:rFonts w:ascii="Century Gothic" w:hAnsi="Century Gothic"/>
          <w:sz w:val="19"/>
          <w:szCs w:val="19"/>
        </w:rPr>
        <w:t xml:space="preserve"> </w:t>
      </w:r>
      <w:r w:rsidR="009A3491" w:rsidRPr="00296E53">
        <w:rPr>
          <w:rFonts w:ascii="Century Gothic" w:hAnsi="Century Gothic"/>
          <w:sz w:val="19"/>
          <w:szCs w:val="19"/>
        </w:rPr>
        <w:t xml:space="preserve">y hacer más eficiente el </w:t>
      </w:r>
      <w:r w:rsidRPr="00296E53">
        <w:rPr>
          <w:rFonts w:ascii="Century Gothic" w:hAnsi="Century Gothic"/>
          <w:sz w:val="19"/>
          <w:szCs w:val="19"/>
        </w:rPr>
        <w:t>proceso de producción</w:t>
      </w:r>
      <w:r w:rsidR="00FA2FDD" w:rsidRPr="00296E53">
        <w:rPr>
          <w:rFonts w:ascii="Century Gothic" w:hAnsi="Century Gothic"/>
          <w:sz w:val="19"/>
          <w:szCs w:val="19"/>
        </w:rPr>
        <w:t>.</w:t>
      </w:r>
    </w:p>
    <w:p w14:paraId="50562145" w14:textId="77777777" w:rsidR="00A016FE" w:rsidRPr="00296E53" w:rsidRDefault="00A016FE" w:rsidP="00A016FE">
      <w:pPr>
        <w:spacing w:after="60"/>
        <w:ind w:left="284"/>
        <w:jc w:val="both"/>
        <w:rPr>
          <w:rFonts w:ascii="Century Gothic" w:hAnsi="Century Gothic"/>
        </w:rPr>
      </w:pPr>
    </w:p>
    <w:tbl>
      <w:tblPr>
        <w:tblW w:w="0" w:type="auto"/>
        <w:tblBorders>
          <w:left w:val="single" w:sz="2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5499"/>
        <w:gridCol w:w="5244"/>
      </w:tblGrid>
      <w:tr w:rsidR="003E0D4E" w:rsidRPr="00296E53" w14:paraId="47A1DC85" w14:textId="77777777" w:rsidTr="00F90083">
        <w:trPr>
          <w:trHeight w:val="2072"/>
        </w:trPr>
        <w:tc>
          <w:tcPr>
            <w:tcW w:w="5499" w:type="dxa"/>
            <w:tcBorders>
              <w:right w:val="single" w:sz="24" w:space="0" w:color="A6A6A6" w:themeColor="background1" w:themeShade="A6"/>
            </w:tcBorders>
            <w:vAlign w:val="center"/>
          </w:tcPr>
          <w:p w14:paraId="1347346D" w14:textId="0A3520E3" w:rsidR="003E0D4E" w:rsidRPr="00296E53" w:rsidRDefault="00573A1E" w:rsidP="008F4CC5">
            <w:pPr>
              <w:spacing w:after="120"/>
              <w:ind w:left="369"/>
              <w:jc w:val="center"/>
              <w:rPr>
                <w:rFonts w:ascii="Century Gothic" w:hAnsi="Century Gothic"/>
                <w:color w:val="0079BF"/>
              </w:rPr>
            </w:pPr>
            <w:r w:rsidRPr="00296E53">
              <w:rPr>
                <w:rFonts w:ascii="Century Gothic" w:hAnsi="Century Gothic"/>
                <w:b/>
                <w:color w:val="0079BF"/>
                <w:sz w:val="40"/>
              </w:rPr>
              <w:t>9</w:t>
            </w:r>
            <w:r w:rsidR="00D22663">
              <w:rPr>
                <w:rFonts w:ascii="Century Gothic" w:hAnsi="Century Gothic"/>
                <w:b/>
                <w:color w:val="0079BF"/>
                <w:sz w:val="40"/>
              </w:rPr>
              <w:t>6</w:t>
            </w:r>
            <w:r w:rsidR="003E0D4E" w:rsidRPr="00296E53">
              <w:rPr>
                <w:rFonts w:ascii="Century Gothic" w:hAnsi="Century Gothic"/>
                <w:b/>
                <w:color w:val="0079BF"/>
                <w:sz w:val="56"/>
              </w:rPr>
              <w:t xml:space="preserve"> </w:t>
            </w:r>
            <w:r w:rsidR="003E0D4E" w:rsidRPr="00296E53">
              <w:rPr>
                <w:rFonts w:ascii="Century Gothic" w:hAnsi="Century Gothic"/>
                <w:b/>
                <w:color w:val="0079BF"/>
                <w:sz w:val="72"/>
              </w:rPr>
              <w:br/>
            </w:r>
            <w:r w:rsidR="003E0D4E" w:rsidRPr="00296E53">
              <w:rPr>
                <w:rFonts w:ascii="Century Gothic" w:hAnsi="Century Gothic"/>
                <w:b/>
                <w:color w:val="0079BF"/>
                <w:sz w:val="28"/>
              </w:rPr>
              <w:t>programas de información del INEGI</w:t>
            </w:r>
            <w:r w:rsidR="00F90083" w:rsidRPr="00296E53">
              <w:rPr>
                <w:rFonts w:ascii="Century Gothic" w:hAnsi="Century Gothic"/>
                <w:b/>
                <w:color w:val="0079BF"/>
                <w:sz w:val="28"/>
              </w:rPr>
              <w:t xml:space="preserve"> almacen</w:t>
            </w:r>
            <w:r w:rsidR="003A19D5" w:rsidRPr="00296E53">
              <w:rPr>
                <w:rFonts w:ascii="Century Gothic" w:hAnsi="Century Gothic"/>
                <w:b/>
                <w:color w:val="0079BF"/>
                <w:sz w:val="28"/>
              </w:rPr>
              <w:t>aron</w:t>
            </w:r>
            <w:r w:rsidR="00F90083" w:rsidRPr="00296E53">
              <w:rPr>
                <w:rFonts w:ascii="Century Gothic" w:hAnsi="Century Gothic"/>
                <w:b/>
                <w:color w:val="0079BF"/>
                <w:sz w:val="28"/>
              </w:rPr>
              <w:t xml:space="preserve"> sus evidencias en el Sistema P</w:t>
            </w:r>
            <w:r w:rsidR="008F4CC5" w:rsidRPr="00296E53">
              <w:rPr>
                <w:rFonts w:ascii="Century Gothic" w:hAnsi="Century Gothic"/>
                <w:b/>
                <w:color w:val="0079BF"/>
                <w:sz w:val="28"/>
              </w:rPr>
              <w:t>-</w:t>
            </w:r>
            <w:r w:rsidR="00F90083" w:rsidRPr="00296E53">
              <w:rPr>
                <w:rFonts w:ascii="Century Gothic" w:hAnsi="Century Gothic"/>
                <w:b/>
                <w:color w:val="0079BF"/>
                <w:sz w:val="28"/>
              </w:rPr>
              <w:t>T</w:t>
            </w:r>
            <w:r w:rsidR="008F4CC5" w:rsidRPr="00296E53">
              <w:rPr>
                <w:rFonts w:ascii="Century Gothic" w:hAnsi="Century Gothic"/>
                <w:b/>
                <w:color w:val="0079BF"/>
                <w:sz w:val="28"/>
              </w:rPr>
              <w:t>racking</w:t>
            </w:r>
          </w:p>
        </w:tc>
        <w:tc>
          <w:tcPr>
            <w:tcW w:w="5244" w:type="dxa"/>
            <w:tcBorders>
              <w:top w:val="nil"/>
              <w:left w:val="single" w:sz="24" w:space="0" w:color="A6A6A6" w:themeColor="background1" w:themeShade="A6"/>
              <w:bottom w:val="nil"/>
            </w:tcBorders>
            <w:vAlign w:val="center"/>
          </w:tcPr>
          <w:p w14:paraId="2DB303B4" w14:textId="12B7FC21" w:rsidR="003E0D4E" w:rsidRPr="00296E53" w:rsidRDefault="00F90083" w:rsidP="00F90083">
            <w:pPr>
              <w:pStyle w:val="Prrafodelista"/>
              <w:spacing w:after="120"/>
              <w:ind w:left="323"/>
              <w:jc w:val="center"/>
              <w:rPr>
                <w:rFonts w:ascii="Century Gothic" w:hAnsi="Century Gothic"/>
                <w:color w:val="0079BF"/>
                <w:sz w:val="23"/>
                <w:szCs w:val="23"/>
              </w:rPr>
            </w:pPr>
            <w:r w:rsidRPr="00296E53">
              <w:rPr>
                <w:rFonts w:ascii="Century Gothic" w:hAnsi="Century Gothic"/>
                <w:b/>
                <w:color w:val="0079BF"/>
                <w:sz w:val="28"/>
              </w:rPr>
              <w:t>El</w:t>
            </w:r>
            <w:r w:rsidRPr="00296E53">
              <w:rPr>
                <w:rFonts w:ascii="Century Gothic" w:hAnsi="Century Gothic"/>
                <w:b/>
                <w:color w:val="0079BF"/>
                <w:sz w:val="56"/>
              </w:rPr>
              <w:t xml:space="preserve"> </w:t>
            </w:r>
            <w:r w:rsidR="00A63ABC" w:rsidRPr="00296E53">
              <w:rPr>
                <w:rFonts w:ascii="Century Gothic" w:hAnsi="Century Gothic"/>
                <w:b/>
                <w:color w:val="0079BF"/>
                <w:sz w:val="40"/>
              </w:rPr>
              <w:t>100</w:t>
            </w:r>
            <w:r w:rsidRPr="00296E53">
              <w:rPr>
                <w:rFonts w:ascii="Century Gothic" w:hAnsi="Century Gothic"/>
                <w:b/>
                <w:color w:val="0079BF"/>
                <w:sz w:val="40"/>
              </w:rPr>
              <w:t>%</w:t>
            </w:r>
            <w:r w:rsidRPr="00296E53">
              <w:rPr>
                <w:rFonts w:ascii="Century Gothic" w:hAnsi="Century Gothic"/>
                <w:b/>
                <w:color w:val="0079BF"/>
                <w:sz w:val="56"/>
              </w:rPr>
              <w:t xml:space="preserve"> </w:t>
            </w:r>
            <w:r w:rsidRPr="00296E53">
              <w:rPr>
                <w:rFonts w:ascii="Century Gothic" w:hAnsi="Century Gothic"/>
                <w:b/>
                <w:color w:val="0079BF"/>
                <w:sz w:val="72"/>
              </w:rPr>
              <w:br/>
            </w:r>
            <w:r w:rsidR="00A63ABC" w:rsidRPr="00296E53">
              <w:rPr>
                <w:rFonts w:ascii="Century Gothic" w:hAnsi="Century Gothic"/>
                <w:b/>
                <w:color w:val="0079BF"/>
                <w:sz w:val="28"/>
              </w:rPr>
              <w:t xml:space="preserve">de los Programas de Información dispone del reporte de Costos por </w:t>
            </w:r>
            <w:r w:rsidR="007836A8" w:rsidRPr="00296E53">
              <w:rPr>
                <w:rFonts w:ascii="Century Gothic" w:hAnsi="Century Gothic"/>
                <w:b/>
                <w:color w:val="0079BF"/>
                <w:sz w:val="28"/>
              </w:rPr>
              <w:t>Proceso (MPEG)</w:t>
            </w:r>
          </w:p>
        </w:tc>
      </w:tr>
    </w:tbl>
    <w:p w14:paraId="2795A2C6" w14:textId="77777777" w:rsidR="00E338CD" w:rsidRPr="00296E53" w:rsidRDefault="00E338CD" w:rsidP="009F3663">
      <w:pPr>
        <w:spacing w:after="120"/>
        <w:rPr>
          <w:rFonts w:ascii="Century Gothic" w:hAnsi="Century Gothic"/>
        </w:rPr>
      </w:pPr>
      <w:r w:rsidRPr="00296E53">
        <w:rPr>
          <w:rFonts w:ascii="Century Gothic" w:hAnsi="Century Gothic"/>
        </w:rPr>
        <w:br w:type="page"/>
      </w:r>
    </w:p>
    <w:tbl>
      <w:tblPr>
        <w:tblW w:w="12763" w:type="dxa"/>
        <w:tblInd w:w="-1139" w:type="dxa"/>
        <w:tblLook w:val="04A0" w:firstRow="1" w:lastRow="0" w:firstColumn="1" w:lastColumn="0" w:noHBand="0" w:noVBand="1"/>
      </w:tblPr>
      <w:tblGrid>
        <w:gridCol w:w="4820"/>
        <w:gridCol w:w="7943"/>
      </w:tblGrid>
      <w:tr w:rsidR="00AD151D" w:rsidRPr="00296E53" w14:paraId="70A85156" w14:textId="77777777" w:rsidTr="00546277">
        <w:trPr>
          <w:trHeight w:val="433"/>
        </w:trPr>
        <w:tc>
          <w:tcPr>
            <w:tcW w:w="4820" w:type="dxa"/>
            <w:shd w:val="clear" w:color="auto" w:fill="auto"/>
          </w:tcPr>
          <w:p w14:paraId="32925235" w14:textId="77777777" w:rsidR="00AD151D" w:rsidRPr="00296E53" w:rsidRDefault="00AD151D" w:rsidP="00546277">
            <w:pPr>
              <w:rPr>
                <w:rFonts w:cstheme="minorHAnsi"/>
                <w:color w:val="0079BF"/>
                <w:sz w:val="2"/>
                <w:szCs w:val="18"/>
              </w:rPr>
            </w:pPr>
          </w:p>
        </w:tc>
        <w:tc>
          <w:tcPr>
            <w:tcW w:w="7943" w:type="dxa"/>
            <w:shd w:val="clear" w:color="auto" w:fill="auto"/>
          </w:tcPr>
          <w:p w14:paraId="326891A6" w14:textId="77777777" w:rsidR="00AD151D" w:rsidRPr="00296E53" w:rsidRDefault="00AD151D" w:rsidP="00546277">
            <w:pPr>
              <w:spacing w:after="0"/>
              <w:jc w:val="center"/>
              <w:rPr>
                <w:rFonts w:cstheme="minorHAnsi"/>
                <w:color w:val="0079BF"/>
                <w:sz w:val="40"/>
                <w:szCs w:val="160"/>
              </w:rPr>
            </w:pPr>
            <w:r w:rsidRPr="00296E53">
              <w:rPr>
                <w:rFonts w:cstheme="minorHAnsi"/>
                <w:color w:val="0079BF"/>
                <w:sz w:val="36"/>
                <w:szCs w:val="144"/>
              </w:rPr>
              <w:t>EVALUACIÓN</w:t>
            </w:r>
          </w:p>
        </w:tc>
      </w:tr>
      <w:tr w:rsidR="00AD151D" w:rsidRPr="00296E53" w14:paraId="19CEDC31" w14:textId="77777777" w:rsidTr="00546277">
        <w:trPr>
          <w:trHeight w:val="201"/>
        </w:trPr>
        <w:tc>
          <w:tcPr>
            <w:tcW w:w="4820" w:type="dxa"/>
            <w:shd w:val="clear" w:color="auto" w:fill="1F3864" w:themeFill="accent5" w:themeFillShade="80"/>
          </w:tcPr>
          <w:p w14:paraId="04454DC0" w14:textId="77777777" w:rsidR="00AD151D" w:rsidRPr="00296E53" w:rsidRDefault="00AD151D" w:rsidP="00546277">
            <w:pPr>
              <w:rPr>
                <w:rFonts w:cstheme="minorHAnsi"/>
                <w:color w:val="FFFFFF" w:themeColor="background1"/>
                <w:sz w:val="2"/>
                <w:szCs w:val="18"/>
              </w:rPr>
            </w:pPr>
          </w:p>
        </w:tc>
        <w:tc>
          <w:tcPr>
            <w:tcW w:w="7943" w:type="dxa"/>
            <w:shd w:val="clear" w:color="auto" w:fill="auto"/>
          </w:tcPr>
          <w:p w14:paraId="71C47BD0" w14:textId="77777777" w:rsidR="00AD151D" w:rsidRPr="00296E53" w:rsidRDefault="00AD151D" w:rsidP="00546277">
            <w:pPr>
              <w:rPr>
                <w:rFonts w:cstheme="minorHAnsi"/>
                <w:color w:val="FFFFFF" w:themeColor="background1"/>
                <w:sz w:val="2"/>
                <w:szCs w:val="18"/>
              </w:rPr>
            </w:pPr>
          </w:p>
        </w:tc>
      </w:tr>
      <w:tr w:rsidR="00AD151D" w:rsidRPr="00296E53" w14:paraId="0CE36911" w14:textId="77777777" w:rsidTr="00546277">
        <w:trPr>
          <w:trHeight w:val="201"/>
        </w:trPr>
        <w:tc>
          <w:tcPr>
            <w:tcW w:w="4820" w:type="dxa"/>
            <w:shd w:val="clear" w:color="auto" w:fill="0079BF"/>
          </w:tcPr>
          <w:p w14:paraId="2FE20092" w14:textId="77777777" w:rsidR="00AD151D" w:rsidRPr="00296E53" w:rsidRDefault="00AD151D" w:rsidP="00546277">
            <w:pPr>
              <w:rPr>
                <w:rFonts w:cstheme="minorHAnsi"/>
                <w:color w:val="FFFFFF" w:themeColor="background1"/>
                <w:sz w:val="2"/>
                <w:szCs w:val="18"/>
              </w:rPr>
            </w:pPr>
          </w:p>
        </w:tc>
        <w:tc>
          <w:tcPr>
            <w:tcW w:w="7943" w:type="dxa"/>
            <w:shd w:val="clear" w:color="auto" w:fill="0079BF"/>
          </w:tcPr>
          <w:p w14:paraId="0C3CA06F" w14:textId="77777777" w:rsidR="00AD151D" w:rsidRPr="00296E53" w:rsidRDefault="00AD151D" w:rsidP="00546277">
            <w:pPr>
              <w:rPr>
                <w:rFonts w:cstheme="minorHAnsi"/>
                <w:color w:val="FFFFFF" w:themeColor="background1"/>
                <w:sz w:val="2"/>
                <w:szCs w:val="18"/>
              </w:rPr>
            </w:pPr>
          </w:p>
        </w:tc>
      </w:tr>
    </w:tbl>
    <w:p w14:paraId="0B426122" w14:textId="77777777" w:rsidR="00AD151D" w:rsidRPr="00296E53" w:rsidRDefault="00AD151D" w:rsidP="00AD151D">
      <w:pPr>
        <w:spacing w:after="120"/>
        <w:rPr>
          <w:rFonts w:ascii="Century Gothic" w:hAnsi="Century Gothic"/>
        </w:rPr>
      </w:pPr>
    </w:p>
    <w:p w14:paraId="0C95126C" w14:textId="77777777" w:rsidR="00EC3679" w:rsidRPr="00296E53" w:rsidRDefault="00EC3679" w:rsidP="00605051">
      <w:pPr>
        <w:pStyle w:val="Ttulo1"/>
        <w:spacing w:before="0" w:after="120"/>
        <w:ind w:left="2835" w:hanging="2835"/>
        <w:rPr>
          <w:rFonts w:ascii="Century Gothic" w:eastAsiaTheme="minorHAnsi" w:hAnsi="Century Gothic" w:cstheme="minorBidi"/>
          <w:b/>
          <w:color w:val="auto"/>
          <w:sz w:val="22"/>
          <w:szCs w:val="22"/>
        </w:rPr>
      </w:pPr>
      <w:bookmarkStart w:id="7" w:name="_Toc65502225"/>
      <w:r w:rsidRPr="00296E53">
        <w:rPr>
          <w:rFonts w:ascii="Century Gothic" w:eastAsiaTheme="minorHAnsi" w:hAnsi="Century Gothic" w:cstheme="minorBidi"/>
          <w:b/>
          <w:color w:val="auto"/>
          <w:sz w:val="22"/>
          <w:szCs w:val="22"/>
        </w:rPr>
        <w:t xml:space="preserve">Actividad estratégica 2. </w:t>
      </w:r>
      <w:r w:rsidR="003F4D43" w:rsidRPr="00296E53">
        <w:rPr>
          <w:rFonts w:ascii="Century Gothic" w:eastAsiaTheme="minorHAnsi" w:hAnsi="Century Gothic" w:cstheme="minorBidi"/>
          <w:b/>
          <w:color w:val="auto"/>
          <w:sz w:val="22"/>
          <w:szCs w:val="22"/>
        </w:rPr>
        <w:tab/>
      </w:r>
      <w:r w:rsidRPr="00296E53">
        <w:rPr>
          <w:rFonts w:ascii="Century Gothic" w:eastAsiaTheme="minorHAnsi" w:hAnsi="Century Gothic" w:cstheme="minorBidi"/>
          <w:b/>
          <w:color w:val="auto"/>
          <w:sz w:val="22"/>
          <w:szCs w:val="22"/>
        </w:rPr>
        <w:t>Evaluar de forma sistemática la calidad de la información</w:t>
      </w:r>
      <w:bookmarkEnd w:id="7"/>
      <w:r w:rsidRPr="00296E53">
        <w:rPr>
          <w:rFonts w:ascii="Century Gothic" w:eastAsiaTheme="minorHAnsi" w:hAnsi="Century Gothic" w:cstheme="minorBidi"/>
          <w:b/>
          <w:color w:val="auto"/>
          <w:sz w:val="22"/>
          <w:szCs w:val="22"/>
        </w:rPr>
        <w:t xml:space="preserve"> </w:t>
      </w: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0800"/>
      </w:tblGrid>
      <w:tr w:rsidR="00AE7B10" w:rsidRPr="00296E53" w14:paraId="11797F03" w14:textId="77777777" w:rsidTr="00AE7B10">
        <w:trPr>
          <w:jc w:val="center"/>
        </w:trPr>
        <w:tc>
          <w:tcPr>
            <w:tcW w:w="11079" w:type="dxa"/>
            <w:shd w:val="clear" w:color="auto" w:fill="C5EAFF"/>
            <w:vAlign w:val="center"/>
          </w:tcPr>
          <w:p w14:paraId="4DF06E22" w14:textId="77777777" w:rsidR="00AE7B10" w:rsidRPr="00296E53" w:rsidRDefault="00AE7B10" w:rsidP="009F3663">
            <w:pPr>
              <w:pStyle w:val="Default"/>
              <w:spacing w:after="120"/>
              <w:jc w:val="center"/>
              <w:rPr>
                <w:rFonts w:ascii="Century Gothic" w:hAnsi="Century Gothic"/>
                <w:color w:val="404040" w:themeColor="text1" w:themeTint="BF"/>
                <w:sz w:val="18"/>
                <w:szCs w:val="20"/>
                <w:lang w:val="es-MX"/>
              </w:rPr>
            </w:pPr>
            <w:r w:rsidRPr="00296E53">
              <w:rPr>
                <w:rFonts w:ascii="Century Gothic" w:hAnsi="Century Gothic"/>
                <w:b/>
                <w:bCs/>
                <w:color w:val="404040" w:themeColor="text1" w:themeTint="BF"/>
                <w:sz w:val="18"/>
                <w:szCs w:val="20"/>
                <w:lang w:val="es-MX"/>
              </w:rPr>
              <w:t xml:space="preserve">Metas 2020-2022: </w:t>
            </w:r>
          </w:p>
          <w:p w14:paraId="1BBDF156" w14:textId="77777777" w:rsidR="0039699B" w:rsidRPr="00296E53" w:rsidRDefault="00AE7B10" w:rsidP="0039699B">
            <w:pPr>
              <w:pStyle w:val="Default"/>
              <w:spacing w:after="120"/>
              <w:ind w:left="178" w:hanging="178"/>
              <w:rPr>
                <w:rFonts w:ascii="Century Gothic" w:hAnsi="Century Gothic"/>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0039699B" w:rsidRPr="00296E53">
              <w:rPr>
                <w:rFonts w:ascii="Century Gothic" w:hAnsi="Century Gothic"/>
                <w:color w:val="404040" w:themeColor="text1" w:themeTint="BF"/>
                <w:sz w:val="18"/>
                <w:szCs w:val="20"/>
                <w:lang w:val="es-MX"/>
              </w:rPr>
              <w:t xml:space="preserve">100% de los programas del INEGI incluye en sus metadatos indicadores de calidad. </w:t>
            </w:r>
          </w:p>
          <w:p w14:paraId="60E021B1" w14:textId="77777777" w:rsidR="00AE7B10" w:rsidRPr="00296E53" w:rsidRDefault="0039699B" w:rsidP="0039699B">
            <w:pPr>
              <w:pStyle w:val="Default"/>
              <w:spacing w:after="120"/>
              <w:ind w:left="177" w:hanging="177"/>
              <w:rPr>
                <w:rFonts w:ascii="Century Gothic" w:hAnsi="Century Gothic"/>
                <w:b/>
                <w:bCs/>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Pr="00296E53">
              <w:rPr>
                <w:rFonts w:ascii="Century Gothic" w:hAnsi="Century Gothic"/>
                <w:color w:val="404040" w:themeColor="text1" w:themeTint="BF"/>
                <w:sz w:val="18"/>
                <w:szCs w:val="20"/>
                <w:lang w:val="es-MX"/>
              </w:rPr>
              <w:tab/>
              <w:t>Existe un catálogo de evaluaciones para el 100% de los tipos de programas de información.</w:t>
            </w:r>
          </w:p>
        </w:tc>
      </w:tr>
    </w:tbl>
    <w:p w14:paraId="7D0A454B" w14:textId="77777777" w:rsidR="00042159" w:rsidRPr="00296E53" w:rsidRDefault="00042159" w:rsidP="00517DCC">
      <w:pPr>
        <w:spacing w:before="240" w:after="60"/>
        <w:rPr>
          <w:rFonts w:ascii="Century Gothic" w:hAnsi="Century Gothic"/>
        </w:rPr>
      </w:pPr>
      <w:r w:rsidRPr="00296E53">
        <w:rPr>
          <w:rFonts w:ascii="Century Gothic" w:hAnsi="Century Gothic"/>
        </w:rPr>
        <w:t>Avances:</w:t>
      </w:r>
    </w:p>
    <w:p w14:paraId="0E1138B9" w14:textId="15B72F5E" w:rsidR="009C2DCB" w:rsidRPr="00296E53" w:rsidRDefault="009C2DCB" w:rsidP="00E14423">
      <w:pPr>
        <w:numPr>
          <w:ilvl w:val="1"/>
          <w:numId w:val="1"/>
        </w:numPr>
        <w:tabs>
          <w:tab w:val="clear" w:pos="1440"/>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En 2020 se incorporó la Herramienta de Evaluación de la Calidad de los Registros Administrativos en la página de internet del Instituto con el fin de que cualquier usuario interesado en evaluar su registro administrativo pueda hacerlo. A partir de enero de 2021esta herramienta también se encuentra disponible en la página del SNIEG.</w:t>
      </w:r>
    </w:p>
    <w:p w14:paraId="45B9C907" w14:textId="49A71303" w:rsidR="009C2DCB" w:rsidRPr="00296E53" w:rsidRDefault="00310596" w:rsidP="00444F3F">
      <w:pPr>
        <w:numPr>
          <w:ilvl w:val="1"/>
          <w:numId w:val="1"/>
        </w:numPr>
        <w:tabs>
          <w:tab w:val="clear" w:pos="1440"/>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Desde 2017 se han reportado los 5 indicadores aprobados de accesibilidad, puntualidad y oportunidad.</w:t>
      </w:r>
      <w:r w:rsidR="00D36F29">
        <w:rPr>
          <w:rFonts w:ascii="Century Gothic" w:hAnsi="Century Gothic"/>
          <w:sz w:val="19"/>
          <w:szCs w:val="19"/>
        </w:rPr>
        <w:t xml:space="preserve"> </w:t>
      </w:r>
      <w:r w:rsidRPr="00296E53">
        <w:rPr>
          <w:rFonts w:ascii="Century Gothic" w:hAnsi="Century Gothic"/>
          <w:sz w:val="19"/>
          <w:szCs w:val="19"/>
        </w:rPr>
        <w:t>A partir de 2019 se aprobaron 10 indicadores de pertinencia.</w:t>
      </w:r>
      <w:r w:rsidR="00D36F29">
        <w:rPr>
          <w:rFonts w:ascii="Century Gothic" w:hAnsi="Century Gothic"/>
          <w:sz w:val="19"/>
          <w:szCs w:val="19"/>
        </w:rPr>
        <w:t xml:space="preserve"> </w:t>
      </w:r>
      <w:r w:rsidRPr="00296E53">
        <w:rPr>
          <w:rFonts w:ascii="Century Gothic" w:hAnsi="Century Gothic"/>
          <w:sz w:val="19"/>
          <w:szCs w:val="19"/>
        </w:rPr>
        <w:t>Estos indicadores han sido medidos para el 100% de los programas de información registrados en el P-Tracking en 2020.</w:t>
      </w:r>
    </w:p>
    <w:p w14:paraId="0361F7C0" w14:textId="2C6324A7" w:rsidR="007977D4" w:rsidRPr="00296E53" w:rsidRDefault="00AD3078" w:rsidP="00444F3F">
      <w:pPr>
        <w:numPr>
          <w:ilvl w:val="1"/>
          <w:numId w:val="1"/>
        </w:numPr>
        <w:tabs>
          <w:tab w:val="clear" w:pos="1440"/>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Si bien la pandemia de 2020 fue causa de</w:t>
      </w:r>
      <w:r w:rsidR="000E440F" w:rsidRPr="00296E53">
        <w:rPr>
          <w:rFonts w:ascii="Century Gothic" w:hAnsi="Century Gothic"/>
          <w:sz w:val="19"/>
          <w:szCs w:val="19"/>
        </w:rPr>
        <w:t xml:space="preserve"> </w:t>
      </w:r>
      <w:r w:rsidR="007977D4" w:rsidRPr="00296E53">
        <w:rPr>
          <w:rFonts w:ascii="Century Gothic" w:hAnsi="Century Gothic"/>
          <w:sz w:val="19"/>
          <w:szCs w:val="19"/>
        </w:rPr>
        <w:t xml:space="preserve">cancelaciones, reprogramaciones y </w:t>
      </w:r>
      <w:r w:rsidRPr="00296E53">
        <w:rPr>
          <w:rFonts w:ascii="Century Gothic" w:hAnsi="Century Gothic"/>
          <w:sz w:val="19"/>
          <w:szCs w:val="19"/>
        </w:rPr>
        <w:t xml:space="preserve">el </w:t>
      </w:r>
      <w:r w:rsidR="007977D4" w:rsidRPr="00296E53">
        <w:rPr>
          <w:rFonts w:ascii="Century Gothic" w:hAnsi="Century Gothic"/>
          <w:sz w:val="19"/>
          <w:szCs w:val="19"/>
        </w:rPr>
        <w:t>surgimiento de nuevos programas de información</w:t>
      </w:r>
      <w:r w:rsidRPr="00296E53">
        <w:rPr>
          <w:rFonts w:ascii="Century Gothic" w:hAnsi="Century Gothic"/>
          <w:sz w:val="19"/>
          <w:szCs w:val="19"/>
        </w:rPr>
        <w:t xml:space="preserve">, lo cual se refleja en algunos </w:t>
      </w:r>
      <w:r w:rsidR="007977D4" w:rsidRPr="00296E53">
        <w:rPr>
          <w:rFonts w:ascii="Century Gothic" w:hAnsi="Century Gothic"/>
          <w:sz w:val="19"/>
          <w:szCs w:val="19"/>
        </w:rPr>
        <w:t xml:space="preserve">indicadores de </w:t>
      </w:r>
      <w:r w:rsidRPr="00296E53">
        <w:rPr>
          <w:rFonts w:ascii="Century Gothic" w:hAnsi="Century Gothic"/>
          <w:sz w:val="19"/>
          <w:szCs w:val="19"/>
        </w:rPr>
        <w:t>calidad, el INEGI redobló el esfuerzo institucional para mantener los productos de información y el compromiso con los usuarios</w:t>
      </w:r>
      <w:r w:rsidR="007977D4" w:rsidRPr="00296E53">
        <w:rPr>
          <w:rFonts w:ascii="Century Gothic" w:hAnsi="Century Gothic"/>
          <w:sz w:val="19"/>
          <w:szCs w:val="19"/>
        </w:rPr>
        <w:t xml:space="preserve">.  </w:t>
      </w:r>
    </w:p>
    <w:p w14:paraId="606A2AEF" w14:textId="29913474" w:rsidR="00F5174A" w:rsidRPr="00296E53" w:rsidRDefault="00AD3078" w:rsidP="00444F3F">
      <w:pPr>
        <w:numPr>
          <w:ilvl w:val="1"/>
          <w:numId w:val="1"/>
        </w:numPr>
        <w:tabs>
          <w:tab w:val="clear" w:pos="1440"/>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L</w:t>
      </w:r>
      <w:r w:rsidR="007977D4" w:rsidRPr="00296E53">
        <w:rPr>
          <w:rFonts w:ascii="Century Gothic" w:hAnsi="Century Gothic"/>
          <w:sz w:val="19"/>
          <w:szCs w:val="19"/>
        </w:rPr>
        <w:t>a puntualidad sólo se vio afectada en 4.3 puntos porcentuales respecto al año anterior. Se observa que la prioridad fue la publicación de resultados y no así la de los metadatos que acompañan la información, por lo que el indicador de accesibilidad se vio afectado pasando de 92% en 2019 a 78% en 2020.</w:t>
      </w:r>
    </w:p>
    <w:p w14:paraId="63FDF6C7" w14:textId="77777777" w:rsidR="007977D4" w:rsidRPr="00296E53" w:rsidRDefault="00E57CF7" w:rsidP="00444F3F">
      <w:pPr>
        <w:numPr>
          <w:ilvl w:val="1"/>
          <w:numId w:val="1"/>
        </w:numPr>
        <w:tabs>
          <w:tab w:val="clear" w:pos="1440"/>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El porcentaje de programas de información publicados que cumplieron con el parámetro de oportunidad cayó de 70% en 2019 a 65% en 2020</w:t>
      </w:r>
      <w:r w:rsidR="00485ADD" w:rsidRPr="00296E53">
        <w:rPr>
          <w:rFonts w:ascii="Century Gothic" w:hAnsi="Century Gothic"/>
          <w:sz w:val="19"/>
          <w:szCs w:val="19"/>
        </w:rPr>
        <w:t>,</w:t>
      </w:r>
      <w:r w:rsidRPr="00296E53">
        <w:rPr>
          <w:rFonts w:ascii="Century Gothic" w:hAnsi="Century Gothic"/>
          <w:sz w:val="19"/>
          <w:szCs w:val="19"/>
        </w:rPr>
        <w:t xml:space="preserve"> derivado de las cancelaciones de ciclos de programas y retrasos en los operativos de campo. </w:t>
      </w:r>
    </w:p>
    <w:p w14:paraId="20F115F9" w14:textId="4296223A" w:rsidR="003C075B" w:rsidRPr="00296E53" w:rsidRDefault="00DF01A7" w:rsidP="003C075B">
      <w:pPr>
        <w:numPr>
          <w:ilvl w:val="1"/>
          <w:numId w:val="1"/>
        </w:numPr>
        <w:tabs>
          <w:tab w:val="clear" w:pos="1440"/>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En 2020 se publicaron 118 Programas que se derivan del Plan Nacional de Desarrollo, de los cuales 31 utilizaron indicadores medidos a través de información estadística y geográfica del INEGI.</w:t>
      </w:r>
      <w:r w:rsidR="00FA6690" w:rsidRPr="00296E53">
        <w:rPr>
          <w:rFonts w:ascii="Century Gothic" w:hAnsi="Century Gothic"/>
          <w:sz w:val="19"/>
          <w:szCs w:val="19"/>
        </w:rPr>
        <w:t xml:space="preserve"> </w:t>
      </w:r>
      <w:r w:rsidR="003C075B" w:rsidRPr="00296E53">
        <w:rPr>
          <w:rFonts w:ascii="Century Gothic" w:hAnsi="Century Gothic"/>
          <w:sz w:val="19"/>
          <w:szCs w:val="19"/>
        </w:rPr>
        <w:t xml:space="preserve">Por otro lado, destacan los esfuerzos institucionales para medir los indicadores de los ODS y la profundización en el análisis de la atención de disposiciones legales.  Estos factores se ven reflejados en el aumento del porcentaje de programas de información utilizados </w:t>
      </w:r>
      <w:r w:rsidR="00232426" w:rsidRPr="00296E53">
        <w:rPr>
          <w:rFonts w:ascii="Century Gothic" w:hAnsi="Century Gothic"/>
          <w:sz w:val="19"/>
          <w:szCs w:val="19"/>
        </w:rPr>
        <w:t>en la atención</w:t>
      </w:r>
      <w:r w:rsidR="003C075B" w:rsidRPr="00296E53">
        <w:rPr>
          <w:rFonts w:ascii="Century Gothic" w:hAnsi="Century Gothic"/>
          <w:sz w:val="19"/>
          <w:szCs w:val="19"/>
        </w:rPr>
        <w:t xml:space="preserve"> de disposiciones legales</w:t>
      </w:r>
      <w:r w:rsidR="00232426" w:rsidRPr="00296E53">
        <w:rPr>
          <w:rFonts w:ascii="Century Gothic" w:hAnsi="Century Gothic"/>
          <w:sz w:val="19"/>
          <w:szCs w:val="19"/>
        </w:rPr>
        <w:t>,</w:t>
      </w:r>
      <w:r w:rsidR="003C075B" w:rsidRPr="00296E53">
        <w:rPr>
          <w:rFonts w:ascii="Century Gothic" w:hAnsi="Century Gothic"/>
          <w:sz w:val="19"/>
          <w:szCs w:val="19"/>
        </w:rPr>
        <w:t xml:space="preserve"> así como </w:t>
      </w:r>
      <w:r w:rsidR="00232426" w:rsidRPr="00296E53">
        <w:rPr>
          <w:rFonts w:ascii="Century Gothic" w:hAnsi="Century Gothic"/>
          <w:sz w:val="19"/>
          <w:szCs w:val="19"/>
        </w:rPr>
        <w:t xml:space="preserve">en la medición </w:t>
      </w:r>
      <w:r w:rsidR="003C075B" w:rsidRPr="00296E53">
        <w:rPr>
          <w:rFonts w:ascii="Century Gothic" w:hAnsi="Century Gothic"/>
          <w:sz w:val="19"/>
          <w:szCs w:val="19"/>
        </w:rPr>
        <w:t>del Desarrollo Nacional.</w:t>
      </w:r>
    </w:p>
    <w:tbl>
      <w:tblPr>
        <w:tblW w:w="10795" w:type="dxa"/>
        <w:jc w:val="center"/>
        <w:tblBorders>
          <w:insideH w:val="single" w:sz="36" w:space="0" w:color="FFFFFF" w:themeColor="background1"/>
        </w:tblBorders>
        <w:tblLook w:val="04A0" w:firstRow="1" w:lastRow="0" w:firstColumn="1" w:lastColumn="0" w:noHBand="0" w:noVBand="1"/>
      </w:tblPr>
      <w:tblGrid>
        <w:gridCol w:w="1699"/>
        <w:gridCol w:w="6098"/>
        <w:gridCol w:w="1701"/>
        <w:gridCol w:w="1297"/>
      </w:tblGrid>
      <w:tr w:rsidR="00310596" w:rsidRPr="00296E53" w14:paraId="14325971" w14:textId="77777777" w:rsidTr="009C0051">
        <w:trPr>
          <w:jc w:val="center"/>
        </w:trPr>
        <w:tc>
          <w:tcPr>
            <w:tcW w:w="1699" w:type="dxa"/>
            <w:tcBorders>
              <w:top w:val="nil"/>
            </w:tcBorders>
            <w:shd w:val="clear" w:color="auto" w:fill="C5EAFF"/>
            <w:vAlign w:val="center"/>
          </w:tcPr>
          <w:p w14:paraId="5BE4B797" w14:textId="77777777" w:rsidR="00310596" w:rsidRPr="00296E53" w:rsidRDefault="00310596" w:rsidP="00444F3F">
            <w:pPr>
              <w:spacing w:after="120"/>
              <w:rPr>
                <w:rFonts w:ascii="Century Gothic" w:hAnsi="Century Gothic"/>
                <w:b/>
                <w:color w:val="1F3864" w:themeColor="accent5" w:themeShade="80"/>
                <w:szCs w:val="18"/>
              </w:rPr>
            </w:pPr>
          </w:p>
        </w:tc>
        <w:tc>
          <w:tcPr>
            <w:tcW w:w="6098" w:type="dxa"/>
            <w:tcBorders>
              <w:top w:val="nil"/>
              <w:bottom w:val="single" w:sz="36" w:space="0" w:color="FFFFFF" w:themeColor="background1"/>
              <w:right w:val="nil"/>
            </w:tcBorders>
            <w:shd w:val="clear" w:color="auto" w:fill="C5EAFF"/>
            <w:vAlign w:val="center"/>
          </w:tcPr>
          <w:p w14:paraId="7063F64B" w14:textId="77777777" w:rsidR="00310596" w:rsidRPr="00296E53" w:rsidRDefault="00310596" w:rsidP="00444F3F">
            <w:pPr>
              <w:spacing w:after="0" w:line="276" w:lineRule="auto"/>
              <w:ind w:left="79" w:right="51"/>
              <w:jc w:val="both"/>
              <w:rPr>
                <w:rFonts w:ascii="Century Gothic" w:hAnsi="Century Gothic"/>
                <w:color w:val="1F3864" w:themeColor="accent5" w:themeShade="80"/>
                <w:sz w:val="18"/>
                <w:szCs w:val="18"/>
              </w:rPr>
            </w:pPr>
          </w:p>
        </w:tc>
        <w:tc>
          <w:tcPr>
            <w:tcW w:w="1701" w:type="dxa"/>
            <w:tcBorders>
              <w:top w:val="nil"/>
              <w:left w:val="nil"/>
              <w:bottom w:val="single" w:sz="36" w:space="0" w:color="FFFFFF" w:themeColor="background1"/>
              <w:right w:val="single" w:sz="4" w:space="0" w:color="C5EAFF"/>
            </w:tcBorders>
            <w:shd w:val="clear" w:color="auto" w:fill="C5EAFF"/>
            <w:vAlign w:val="center"/>
          </w:tcPr>
          <w:p w14:paraId="45EC7E4D" w14:textId="77777777" w:rsidR="00310596" w:rsidRPr="00296E53" w:rsidRDefault="00310596"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2019</w:t>
            </w:r>
          </w:p>
        </w:tc>
        <w:tc>
          <w:tcPr>
            <w:tcW w:w="1297" w:type="dxa"/>
            <w:tcBorders>
              <w:top w:val="nil"/>
              <w:left w:val="single" w:sz="4" w:space="0" w:color="FFFFFF" w:themeColor="background1"/>
              <w:bottom w:val="single" w:sz="36" w:space="0" w:color="FFFFFF" w:themeColor="background1"/>
              <w:right w:val="single" w:sz="4" w:space="0" w:color="C5EAFF"/>
            </w:tcBorders>
            <w:shd w:val="clear" w:color="auto" w:fill="C5EAFF"/>
          </w:tcPr>
          <w:p w14:paraId="1CB62EE9" w14:textId="77777777" w:rsidR="00310596" w:rsidRPr="00296E53" w:rsidRDefault="00310596"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2020</w:t>
            </w:r>
          </w:p>
        </w:tc>
      </w:tr>
      <w:tr w:rsidR="00310596" w:rsidRPr="00296E53" w14:paraId="26292810" w14:textId="77777777" w:rsidTr="00052FCC">
        <w:trPr>
          <w:jc w:val="center"/>
        </w:trPr>
        <w:tc>
          <w:tcPr>
            <w:tcW w:w="1699" w:type="dxa"/>
            <w:tcBorders>
              <w:top w:val="nil"/>
            </w:tcBorders>
            <w:shd w:val="clear" w:color="auto" w:fill="C5EAFF"/>
            <w:vAlign w:val="center"/>
          </w:tcPr>
          <w:p w14:paraId="6A9E11C0" w14:textId="77777777" w:rsidR="00310596" w:rsidRPr="00296E53" w:rsidRDefault="00310596" w:rsidP="00444F3F">
            <w:pPr>
              <w:spacing w:after="120"/>
              <w:rPr>
                <w:rFonts w:ascii="Century Gothic" w:hAnsi="Century Gothic"/>
                <w:b/>
                <w:color w:val="1F3864" w:themeColor="accent5" w:themeShade="80"/>
                <w:szCs w:val="18"/>
              </w:rPr>
            </w:pPr>
            <w:r w:rsidRPr="00296E53">
              <w:rPr>
                <w:rFonts w:ascii="Century Gothic" w:hAnsi="Century Gothic"/>
                <w:b/>
                <w:color w:val="1F3864" w:themeColor="accent5" w:themeShade="80"/>
                <w:szCs w:val="18"/>
              </w:rPr>
              <w:t>Accesibilidad</w:t>
            </w:r>
          </w:p>
        </w:tc>
        <w:tc>
          <w:tcPr>
            <w:tcW w:w="6098" w:type="dxa"/>
            <w:tcBorders>
              <w:top w:val="nil"/>
              <w:bottom w:val="single" w:sz="36" w:space="0" w:color="FFFFFF" w:themeColor="background1"/>
              <w:right w:val="nil"/>
            </w:tcBorders>
            <w:shd w:val="clear" w:color="auto" w:fill="C5EAFF"/>
            <w:vAlign w:val="center"/>
          </w:tcPr>
          <w:p w14:paraId="4D1BDA73" w14:textId="77777777" w:rsidR="00310596" w:rsidRPr="00296E53" w:rsidRDefault="00310596" w:rsidP="00444F3F">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Porcentaje de ciclos de programas que publicaron metadatos documentados con base en un estándar internacional.</w:t>
            </w:r>
          </w:p>
        </w:tc>
        <w:tc>
          <w:tcPr>
            <w:tcW w:w="1701"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4098569A" w14:textId="77777777" w:rsidR="00310596" w:rsidRPr="00296E53" w:rsidRDefault="00310596"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92%</w:t>
            </w:r>
          </w:p>
        </w:tc>
        <w:tc>
          <w:tcPr>
            <w:tcW w:w="1297" w:type="dxa"/>
            <w:tcBorders>
              <w:top w:val="nil"/>
              <w:left w:val="single" w:sz="4" w:space="0" w:color="FFFFFF" w:themeColor="background1"/>
              <w:bottom w:val="single" w:sz="36" w:space="0" w:color="FFFFFF" w:themeColor="background1"/>
              <w:right w:val="single" w:sz="4" w:space="0" w:color="C5EAFF"/>
            </w:tcBorders>
            <w:shd w:val="clear" w:color="auto" w:fill="C5EAFF"/>
            <w:vAlign w:val="center"/>
          </w:tcPr>
          <w:p w14:paraId="2F3F3035" w14:textId="3F6DEB45" w:rsidR="00310596" w:rsidRPr="00296E53" w:rsidRDefault="005710CD" w:rsidP="00444F3F">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18"/>
              </w:rPr>
              <w:t>82</w:t>
            </w:r>
            <w:r w:rsidR="00310596" w:rsidRPr="00296E53">
              <w:rPr>
                <w:rFonts w:ascii="Century Gothic" w:hAnsi="Century Gothic"/>
                <w:b/>
                <w:color w:val="1F3864" w:themeColor="accent5" w:themeShade="80"/>
                <w:sz w:val="28"/>
                <w:szCs w:val="18"/>
              </w:rPr>
              <w:t>%</w:t>
            </w:r>
          </w:p>
        </w:tc>
      </w:tr>
      <w:tr w:rsidR="00F5174A" w:rsidRPr="00296E53" w14:paraId="65C6E7FC" w14:textId="77777777" w:rsidTr="00052FCC">
        <w:trPr>
          <w:jc w:val="center"/>
        </w:trPr>
        <w:tc>
          <w:tcPr>
            <w:tcW w:w="1699" w:type="dxa"/>
            <w:vMerge w:val="restart"/>
            <w:shd w:val="clear" w:color="auto" w:fill="C5EAFF"/>
            <w:vAlign w:val="center"/>
          </w:tcPr>
          <w:p w14:paraId="13F2BA3E" w14:textId="77777777" w:rsidR="00F5174A" w:rsidRPr="00296E53" w:rsidRDefault="00F5174A" w:rsidP="00444F3F">
            <w:pPr>
              <w:rPr>
                <w:rFonts w:ascii="Century Gothic" w:hAnsi="Century Gothic"/>
                <w:b/>
                <w:color w:val="1F3864" w:themeColor="accent5" w:themeShade="80"/>
                <w:szCs w:val="18"/>
              </w:rPr>
            </w:pPr>
            <w:r w:rsidRPr="00296E53">
              <w:rPr>
                <w:rFonts w:ascii="Century Gothic" w:hAnsi="Century Gothic"/>
                <w:b/>
                <w:color w:val="1F3864" w:themeColor="accent5" w:themeShade="80"/>
                <w:szCs w:val="18"/>
              </w:rPr>
              <w:t>Puntualidad</w:t>
            </w:r>
          </w:p>
        </w:tc>
        <w:tc>
          <w:tcPr>
            <w:tcW w:w="6098" w:type="dxa"/>
            <w:tcBorders>
              <w:top w:val="single" w:sz="36" w:space="0" w:color="FFFFFF" w:themeColor="background1"/>
              <w:bottom w:val="single" w:sz="4" w:space="0" w:color="C5EAFF"/>
              <w:right w:val="nil"/>
            </w:tcBorders>
            <w:shd w:val="clear" w:color="auto" w:fill="C5EAFF"/>
            <w:vAlign w:val="center"/>
          </w:tcPr>
          <w:p w14:paraId="61DF9A7D" w14:textId="77777777" w:rsidR="00F5174A" w:rsidRPr="00296E53" w:rsidRDefault="00F5174A" w:rsidP="00444F3F">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Porcentaje de programas publicados en el sitio del INEGI cuya fecha de publicación se comprometió en el Calendario de difusión aprobado en diciembre del año anterior.</w:t>
            </w:r>
          </w:p>
        </w:tc>
        <w:tc>
          <w:tcPr>
            <w:tcW w:w="1701"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5A368F91" w14:textId="77777777" w:rsidR="00F5174A" w:rsidRPr="00296E53" w:rsidRDefault="00F5174A"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97%</w:t>
            </w:r>
          </w:p>
        </w:tc>
        <w:tc>
          <w:tcPr>
            <w:tcW w:w="1297" w:type="dxa"/>
            <w:tcBorders>
              <w:top w:val="single" w:sz="36" w:space="0" w:color="FFFFFF" w:themeColor="background1"/>
              <w:left w:val="single" w:sz="4" w:space="0" w:color="FFFFFF" w:themeColor="background1"/>
              <w:bottom w:val="single" w:sz="2" w:space="0" w:color="FFFFFF" w:themeColor="background1"/>
              <w:right w:val="single" w:sz="4" w:space="0" w:color="C5EAFF"/>
            </w:tcBorders>
            <w:shd w:val="clear" w:color="auto" w:fill="C5EAFF"/>
            <w:vAlign w:val="center"/>
          </w:tcPr>
          <w:p w14:paraId="7A2E8590" w14:textId="77777777" w:rsidR="00F5174A" w:rsidRPr="00296E53" w:rsidRDefault="00F5174A" w:rsidP="00444F3F">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18"/>
              </w:rPr>
              <w:t>96%</w:t>
            </w:r>
          </w:p>
        </w:tc>
      </w:tr>
      <w:tr w:rsidR="00F5174A" w:rsidRPr="00296E53" w14:paraId="7FF2001E" w14:textId="77777777" w:rsidTr="00052FCC">
        <w:trPr>
          <w:jc w:val="center"/>
        </w:trPr>
        <w:tc>
          <w:tcPr>
            <w:tcW w:w="1699" w:type="dxa"/>
            <w:vMerge/>
            <w:shd w:val="clear" w:color="auto" w:fill="C5EAFF"/>
            <w:vAlign w:val="center"/>
          </w:tcPr>
          <w:p w14:paraId="1ABEA65C" w14:textId="77777777" w:rsidR="00F5174A" w:rsidRPr="00296E53" w:rsidRDefault="00F5174A" w:rsidP="00444F3F">
            <w:pPr>
              <w:rPr>
                <w:rFonts w:ascii="Century Gothic" w:hAnsi="Century Gothic"/>
                <w:b/>
                <w:color w:val="1F3864" w:themeColor="accent5" w:themeShade="80"/>
                <w:szCs w:val="18"/>
              </w:rPr>
            </w:pPr>
          </w:p>
        </w:tc>
        <w:tc>
          <w:tcPr>
            <w:tcW w:w="6098" w:type="dxa"/>
            <w:tcBorders>
              <w:top w:val="single" w:sz="36" w:space="0" w:color="FFFFFF" w:themeColor="background1"/>
              <w:bottom w:val="single" w:sz="4" w:space="0" w:color="C5EAFF"/>
              <w:right w:val="nil"/>
            </w:tcBorders>
            <w:shd w:val="clear" w:color="auto" w:fill="C5EAFF"/>
            <w:vAlign w:val="center"/>
          </w:tcPr>
          <w:p w14:paraId="1F00DBE9" w14:textId="77777777" w:rsidR="00F5174A" w:rsidRPr="00296E53" w:rsidRDefault="00F5174A" w:rsidP="00444F3F">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Porcentaje de programas incluidos en el Calendario de difusión que fueron publicados puntualmente.</w:t>
            </w:r>
          </w:p>
        </w:tc>
        <w:tc>
          <w:tcPr>
            <w:tcW w:w="1701"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7F012DDE" w14:textId="77777777" w:rsidR="00F5174A" w:rsidRPr="00296E53" w:rsidRDefault="00F5174A"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99.8%</w:t>
            </w:r>
          </w:p>
        </w:tc>
        <w:tc>
          <w:tcPr>
            <w:tcW w:w="1297" w:type="dxa"/>
            <w:tcBorders>
              <w:top w:val="single" w:sz="36" w:space="0" w:color="FFFFFF" w:themeColor="background1"/>
              <w:left w:val="single" w:sz="4" w:space="0" w:color="FFFFFF" w:themeColor="background1"/>
              <w:bottom w:val="single" w:sz="2" w:space="0" w:color="FFFFFF" w:themeColor="background1"/>
              <w:right w:val="single" w:sz="4" w:space="0" w:color="C5EAFF"/>
            </w:tcBorders>
            <w:shd w:val="clear" w:color="auto" w:fill="C5EAFF"/>
            <w:vAlign w:val="center"/>
          </w:tcPr>
          <w:p w14:paraId="6B498EA3" w14:textId="77777777" w:rsidR="00F5174A" w:rsidRPr="00296E53" w:rsidRDefault="00F5174A" w:rsidP="00444F3F">
            <w:pPr>
              <w:spacing w:after="120"/>
              <w:jc w:val="center"/>
              <w:rPr>
                <w:rFonts w:ascii="Century Gothic" w:hAnsi="Century Gothic"/>
                <w:b/>
                <w:color w:val="1F3864" w:themeColor="accent5" w:themeShade="80"/>
                <w:sz w:val="28"/>
                <w:szCs w:val="18"/>
              </w:rPr>
            </w:pPr>
            <w:r w:rsidRPr="00296E53">
              <w:rPr>
                <w:rFonts w:ascii="Century Gothic" w:hAnsi="Century Gothic"/>
                <w:b/>
                <w:color w:val="1F3864" w:themeColor="accent5" w:themeShade="80"/>
                <w:sz w:val="28"/>
                <w:szCs w:val="18"/>
              </w:rPr>
              <w:t>95.5%</w:t>
            </w:r>
          </w:p>
        </w:tc>
      </w:tr>
      <w:tr w:rsidR="00310596" w:rsidRPr="00296E53" w14:paraId="2471D30D" w14:textId="77777777" w:rsidTr="00052FCC">
        <w:trPr>
          <w:jc w:val="center"/>
        </w:trPr>
        <w:tc>
          <w:tcPr>
            <w:tcW w:w="1699" w:type="dxa"/>
            <w:shd w:val="clear" w:color="auto" w:fill="C5EAFF"/>
            <w:vAlign w:val="center"/>
          </w:tcPr>
          <w:p w14:paraId="01FB7750" w14:textId="77777777" w:rsidR="00310596" w:rsidRPr="00296E53" w:rsidRDefault="00310596" w:rsidP="00444F3F">
            <w:pPr>
              <w:spacing w:after="120"/>
              <w:rPr>
                <w:rFonts w:ascii="Century Gothic" w:hAnsi="Century Gothic"/>
                <w:b/>
                <w:color w:val="1F3864" w:themeColor="accent5" w:themeShade="80"/>
                <w:szCs w:val="18"/>
              </w:rPr>
            </w:pPr>
            <w:r w:rsidRPr="00296E53">
              <w:rPr>
                <w:rFonts w:ascii="Century Gothic" w:hAnsi="Century Gothic"/>
                <w:b/>
                <w:color w:val="1F3864" w:themeColor="accent5" w:themeShade="80"/>
                <w:szCs w:val="18"/>
              </w:rPr>
              <w:t>Oportunidad</w:t>
            </w:r>
          </w:p>
        </w:tc>
        <w:tc>
          <w:tcPr>
            <w:tcW w:w="6098" w:type="dxa"/>
            <w:tcBorders>
              <w:top w:val="single" w:sz="36" w:space="0" w:color="FFFFFF" w:themeColor="background1"/>
              <w:bottom w:val="single" w:sz="36" w:space="0" w:color="FFFFFF" w:themeColor="background1"/>
              <w:right w:val="nil"/>
            </w:tcBorders>
            <w:shd w:val="clear" w:color="auto" w:fill="C5EAFF"/>
            <w:vAlign w:val="center"/>
          </w:tcPr>
          <w:p w14:paraId="271CE7A5" w14:textId="77777777" w:rsidR="00310596" w:rsidRPr="00296E53" w:rsidRDefault="00310596" w:rsidP="00444F3F">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Porcentaje de pro</w:t>
            </w:r>
            <w:r w:rsidR="007F6AF1" w:rsidRPr="00296E53">
              <w:rPr>
                <w:rFonts w:ascii="Century Gothic" w:hAnsi="Century Gothic"/>
                <w:color w:val="1F3864" w:themeColor="accent5" w:themeShade="80"/>
                <w:sz w:val="18"/>
                <w:szCs w:val="18"/>
              </w:rPr>
              <w:t>ductos</w:t>
            </w:r>
            <w:r w:rsidRPr="00296E53">
              <w:rPr>
                <w:rFonts w:ascii="Century Gothic" w:hAnsi="Century Gothic"/>
                <w:color w:val="1F3864" w:themeColor="accent5" w:themeShade="80"/>
                <w:sz w:val="18"/>
                <w:szCs w:val="18"/>
              </w:rPr>
              <w:t xml:space="preserve"> de información publicados que cumplen con el parámetro de oportunidad definido.</w:t>
            </w:r>
          </w:p>
        </w:tc>
        <w:tc>
          <w:tcPr>
            <w:tcW w:w="1701"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1AEF6589" w14:textId="77777777" w:rsidR="00310596" w:rsidRPr="00296E53" w:rsidRDefault="00310596"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70%</w:t>
            </w:r>
          </w:p>
        </w:tc>
        <w:tc>
          <w:tcPr>
            <w:tcW w:w="1297" w:type="dxa"/>
            <w:tcBorders>
              <w:top w:val="single" w:sz="36" w:space="0" w:color="FFFFFF" w:themeColor="background1"/>
              <w:left w:val="single" w:sz="4" w:space="0" w:color="FFFFFF" w:themeColor="background1"/>
              <w:bottom w:val="single" w:sz="36" w:space="0" w:color="FFFFFF" w:themeColor="background1"/>
              <w:right w:val="single" w:sz="4" w:space="0" w:color="C5EAFF"/>
            </w:tcBorders>
            <w:shd w:val="clear" w:color="auto" w:fill="C5EAFF"/>
            <w:vAlign w:val="center"/>
          </w:tcPr>
          <w:p w14:paraId="6D16F2E9" w14:textId="343CC1D9" w:rsidR="00310596" w:rsidRPr="00296E53" w:rsidRDefault="00651836" w:rsidP="00444F3F">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20"/>
              </w:rPr>
              <w:t>6</w:t>
            </w:r>
            <w:r w:rsidR="00B4548C">
              <w:rPr>
                <w:rFonts w:ascii="Century Gothic" w:hAnsi="Century Gothic"/>
                <w:b/>
                <w:color w:val="1F3864" w:themeColor="accent5" w:themeShade="80"/>
                <w:sz w:val="28"/>
                <w:szCs w:val="20"/>
              </w:rPr>
              <w:t>4</w:t>
            </w:r>
            <w:r w:rsidRPr="00296E53">
              <w:rPr>
                <w:rFonts w:ascii="Century Gothic" w:hAnsi="Century Gothic"/>
                <w:b/>
                <w:color w:val="1F3864" w:themeColor="accent5" w:themeShade="80"/>
                <w:sz w:val="28"/>
                <w:szCs w:val="20"/>
              </w:rPr>
              <w:t>%</w:t>
            </w:r>
          </w:p>
        </w:tc>
      </w:tr>
      <w:tr w:rsidR="00310596" w:rsidRPr="00296E53" w14:paraId="3495EF84" w14:textId="77777777" w:rsidTr="00052FCC">
        <w:trPr>
          <w:jc w:val="center"/>
        </w:trPr>
        <w:tc>
          <w:tcPr>
            <w:tcW w:w="1699" w:type="dxa"/>
            <w:shd w:val="clear" w:color="auto" w:fill="C5EAFF"/>
            <w:vAlign w:val="center"/>
          </w:tcPr>
          <w:p w14:paraId="3DBA5DAF" w14:textId="77777777" w:rsidR="00310596" w:rsidRPr="00296E53" w:rsidRDefault="00310596" w:rsidP="00444F3F">
            <w:pPr>
              <w:spacing w:after="120"/>
              <w:rPr>
                <w:rFonts w:ascii="Century Gothic" w:hAnsi="Century Gothic"/>
                <w:b/>
                <w:color w:val="1F3864" w:themeColor="accent5" w:themeShade="80"/>
                <w:szCs w:val="18"/>
              </w:rPr>
            </w:pPr>
            <w:r w:rsidRPr="00296E53">
              <w:rPr>
                <w:rFonts w:ascii="Century Gothic" w:hAnsi="Century Gothic"/>
                <w:b/>
                <w:color w:val="1F3864" w:themeColor="accent5" w:themeShade="80"/>
                <w:szCs w:val="18"/>
              </w:rPr>
              <w:t>Pertinencia</w:t>
            </w:r>
          </w:p>
        </w:tc>
        <w:tc>
          <w:tcPr>
            <w:tcW w:w="6098" w:type="dxa"/>
            <w:tcBorders>
              <w:top w:val="single" w:sz="36" w:space="0" w:color="FFFFFF" w:themeColor="background1"/>
              <w:bottom w:val="single" w:sz="8" w:space="0" w:color="FFFFFF" w:themeColor="background1"/>
              <w:right w:val="nil"/>
            </w:tcBorders>
            <w:shd w:val="clear" w:color="auto" w:fill="C5EAFF"/>
            <w:vAlign w:val="center"/>
          </w:tcPr>
          <w:p w14:paraId="31A8D2C0" w14:textId="77777777" w:rsidR="00310596" w:rsidRPr="00296E53" w:rsidRDefault="00310596" w:rsidP="00444F3F">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Porcentaje de Programas de información estadística y geográfica del INEGI utilizados en la atención de disposiciones legales y medición del Desarrollo Nacional.</w:t>
            </w:r>
          </w:p>
        </w:tc>
        <w:tc>
          <w:tcPr>
            <w:tcW w:w="1701" w:type="dxa"/>
            <w:tcBorders>
              <w:top w:val="single" w:sz="36" w:space="0" w:color="FFFFFF" w:themeColor="background1"/>
              <w:left w:val="nil"/>
              <w:bottom w:val="single" w:sz="8" w:space="0" w:color="FFFFFF" w:themeColor="background1"/>
              <w:right w:val="single" w:sz="4" w:space="0" w:color="C5EAFF"/>
            </w:tcBorders>
            <w:shd w:val="clear" w:color="auto" w:fill="C5EAFF"/>
            <w:vAlign w:val="center"/>
          </w:tcPr>
          <w:p w14:paraId="34A9D0DD" w14:textId="77777777" w:rsidR="00310596" w:rsidRPr="00296E53" w:rsidRDefault="00310596"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76%</w:t>
            </w:r>
          </w:p>
        </w:tc>
        <w:tc>
          <w:tcPr>
            <w:tcW w:w="1297" w:type="dxa"/>
            <w:tcBorders>
              <w:top w:val="single" w:sz="36" w:space="0" w:color="FFFFFF" w:themeColor="background1"/>
              <w:left w:val="single" w:sz="4" w:space="0" w:color="FFFFFF" w:themeColor="background1"/>
              <w:bottom w:val="single" w:sz="8" w:space="0" w:color="FFFFFF" w:themeColor="background1"/>
              <w:right w:val="single" w:sz="4" w:space="0" w:color="C5EAFF"/>
            </w:tcBorders>
            <w:shd w:val="clear" w:color="auto" w:fill="C5EAFF"/>
            <w:vAlign w:val="center"/>
          </w:tcPr>
          <w:p w14:paraId="71BE8234" w14:textId="6998C872" w:rsidR="00310596" w:rsidRPr="00296E53" w:rsidRDefault="007715E5" w:rsidP="00444F3F">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20"/>
              </w:rPr>
              <w:t>83</w:t>
            </w:r>
            <w:r w:rsidR="00052FCC" w:rsidRPr="00296E53">
              <w:rPr>
                <w:rFonts w:ascii="Century Gothic" w:hAnsi="Century Gothic"/>
                <w:b/>
                <w:color w:val="1F3864" w:themeColor="accent5" w:themeShade="80"/>
                <w:sz w:val="28"/>
                <w:szCs w:val="20"/>
              </w:rPr>
              <w:t>%</w:t>
            </w:r>
          </w:p>
        </w:tc>
      </w:tr>
    </w:tbl>
    <w:p w14:paraId="771260B5" w14:textId="77777777" w:rsidR="00310596" w:rsidRPr="00296E53" w:rsidRDefault="00310596">
      <w:pPr>
        <w:rPr>
          <w:rFonts w:ascii="Century Gothic" w:hAnsi="Century Gothic"/>
          <w:sz w:val="19"/>
          <w:szCs w:val="19"/>
        </w:rPr>
      </w:pPr>
      <w:r w:rsidRPr="00296E53">
        <w:rPr>
          <w:rFonts w:ascii="Century Gothic" w:hAnsi="Century Gothic"/>
          <w:sz w:val="19"/>
          <w:szCs w:val="19"/>
        </w:rPr>
        <w:br w:type="page"/>
      </w:r>
    </w:p>
    <w:tbl>
      <w:tblPr>
        <w:tblW w:w="12763" w:type="dxa"/>
        <w:tblInd w:w="-1139" w:type="dxa"/>
        <w:tblLook w:val="04A0" w:firstRow="1" w:lastRow="0" w:firstColumn="1" w:lastColumn="0" w:noHBand="0" w:noVBand="1"/>
      </w:tblPr>
      <w:tblGrid>
        <w:gridCol w:w="4820"/>
        <w:gridCol w:w="7943"/>
      </w:tblGrid>
      <w:tr w:rsidR="00AD151D" w:rsidRPr="00296E53" w14:paraId="683AE4F6" w14:textId="77777777" w:rsidTr="00546277">
        <w:trPr>
          <w:trHeight w:val="433"/>
        </w:trPr>
        <w:tc>
          <w:tcPr>
            <w:tcW w:w="4820" w:type="dxa"/>
            <w:shd w:val="clear" w:color="auto" w:fill="auto"/>
          </w:tcPr>
          <w:p w14:paraId="17150415" w14:textId="77777777" w:rsidR="00AD151D" w:rsidRPr="00296E53" w:rsidRDefault="00AD151D" w:rsidP="00546277">
            <w:pPr>
              <w:rPr>
                <w:rFonts w:cstheme="minorHAnsi"/>
                <w:color w:val="0079BF"/>
                <w:sz w:val="2"/>
                <w:szCs w:val="18"/>
              </w:rPr>
            </w:pPr>
          </w:p>
        </w:tc>
        <w:tc>
          <w:tcPr>
            <w:tcW w:w="7943" w:type="dxa"/>
            <w:shd w:val="clear" w:color="auto" w:fill="auto"/>
          </w:tcPr>
          <w:p w14:paraId="1C4A44B7" w14:textId="77777777" w:rsidR="00AD151D" w:rsidRPr="00296E53" w:rsidRDefault="00AD151D" w:rsidP="00546277">
            <w:pPr>
              <w:spacing w:after="0"/>
              <w:jc w:val="center"/>
              <w:rPr>
                <w:rFonts w:cstheme="minorHAnsi"/>
                <w:color w:val="0079BF"/>
                <w:sz w:val="40"/>
                <w:szCs w:val="160"/>
              </w:rPr>
            </w:pPr>
            <w:proofErr w:type="spellStart"/>
            <w:r w:rsidRPr="00296E53">
              <w:rPr>
                <w:rFonts w:cstheme="minorHAnsi"/>
                <w:color w:val="0079BF"/>
                <w:sz w:val="2"/>
                <w:szCs w:val="18"/>
              </w:rPr>
              <w:t>aI</w:t>
            </w:r>
            <w:r w:rsidR="00E40573" w:rsidRPr="00296E53">
              <w:rPr>
                <w:rFonts w:cstheme="minorHAnsi"/>
                <w:color w:val="0079BF"/>
                <w:sz w:val="2"/>
                <w:szCs w:val="18"/>
              </w:rPr>
              <w:t>eva</w:t>
            </w:r>
            <w:r w:rsidRPr="00296E53">
              <w:rPr>
                <w:rFonts w:cstheme="minorHAnsi"/>
                <w:color w:val="0079BF"/>
                <w:sz w:val="36"/>
                <w:szCs w:val="144"/>
              </w:rPr>
              <w:t>E</w:t>
            </w:r>
            <w:r w:rsidR="00E40573" w:rsidRPr="00296E53">
              <w:rPr>
                <w:rFonts w:cstheme="minorHAnsi"/>
                <w:color w:val="0079BF"/>
                <w:sz w:val="36"/>
                <w:szCs w:val="144"/>
              </w:rPr>
              <w:t>VALUACIÓN</w:t>
            </w:r>
            <w:proofErr w:type="spellEnd"/>
          </w:p>
        </w:tc>
      </w:tr>
      <w:tr w:rsidR="00AD151D" w:rsidRPr="00296E53" w14:paraId="7084E569" w14:textId="77777777" w:rsidTr="00546277">
        <w:trPr>
          <w:trHeight w:val="201"/>
        </w:trPr>
        <w:tc>
          <w:tcPr>
            <w:tcW w:w="4820" w:type="dxa"/>
            <w:shd w:val="clear" w:color="auto" w:fill="1F3864" w:themeFill="accent5" w:themeFillShade="80"/>
          </w:tcPr>
          <w:p w14:paraId="366EB252" w14:textId="77777777" w:rsidR="00AD151D" w:rsidRPr="00296E53" w:rsidRDefault="00AD151D" w:rsidP="00546277">
            <w:pPr>
              <w:rPr>
                <w:rFonts w:cstheme="minorHAnsi"/>
                <w:color w:val="FFFFFF" w:themeColor="background1"/>
                <w:sz w:val="2"/>
                <w:szCs w:val="18"/>
              </w:rPr>
            </w:pPr>
          </w:p>
        </w:tc>
        <w:tc>
          <w:tcPr>
            <w:tcW w:w="7943" w:type="dxa"/>
            <w:shd w:val="clear" w:color="auto" w:fill="auto"/>
          </w:tcPr>
          <w:p w14:paraId="4FBBBE6B" w14:textId="77777777" w:rsidR="00AD151D" w:rsidRPr="00296E53" w:rsidRDefault="00AD151D" w:rsidP="00546277">
            <w:pPr>
              <w:rPr>
                <w:rFonts w:cstheme="minorHAnsi"/>
                <w:color w:val="FFFFFF" w:themeColor="background1"/>
                <w:sz w:val="2"/>
                <w:szCs w:val="18"/>
              </w:rPr>
            </w:pPr>
          </w:p>
        </w:tc>
      </w:tr>
      <w:tr w:rsidR="00AD151D" w:rsidRPr="00296E53" w14:paraId="237DEDFA" w14:textId="77777777" w:rsidTr="00546277">
        <w:trPr>
          <w:trHeight w:val="201"/>
        </w:trPr>
        <w:tc>
          <w:tcPr>
            <w:tcW w:w="4820" w:type="dxa"/>
            <w:shd w:val="clear" w:color="auto" w:fill="0079BF"/>
          </w:tcPr>
          <w:p w14:paraId="3561E57B" w14:textId="77777777" w:rsidR="00AD151D" w:rsidRPr="00296E53" w:rsidRDefault="00AD151D" w:rsidP="00546277">
            <w:pPr>
              <w:rPr>
                <w:rFonts w:cstheme="minorHAnsi"/>
                <w:color w:val="FFFFFF" w:themeColor="background1"/>
                <w:sz w:val="2"/>
                <w:szCs w:val="18"/>
              </w:rPr>
            </w:pPr>
          </w:p>
        </w:tc>
        <w:tc>
          <w:tcPr>
            <w:tcW w:w="7943" w:type="dxa"/>
            <w:shd w:val="clear" w:color="auto" w:fill="0079BF"/>
          </w:tcPr>
          <w:p w14:paraId="07AD6EBD" w14:textId="77777777" w:rsidR="00AD151D" w:rsidRPr="00296E53" w:rsidRDefault="00AD151D" w:rsidP="00546277">
            <w:pPr>
              <w:rPr>
                <w:rFonts w:cstheme="minorHAnsi"/>
                <w:color w:val="FFFFFF" w:themeColor="background1"/>
                <w:sz w:val="2"/>
                <w:szCs w:val="18"/>
              </w:rPr>
            </w:pPr>
          </w:p>
        </w:tc>
      </w:tr>
    </w:tbl>
    <w:p w14:paraId="311F54D5" w14:textId="77777777" w:rsidR="00AD151D" w:rsidRPr="00296E53" w:rsidRDefault="00AD151D" w:rsidP="00E41130">
      <w:pPr>
        <w:spacing w:after="0"/>
        <w:rPr>
          <w:rFonts w:ascii="Century Gothic" w:hAnsi="Century Gothic"/>
        </w:rPr>
      </w:pPr>
    </w:p>
    <w:p w14:paraId="1A062E06" w14:textId="14ABEDFB" w:rsidR="006F1DB6" w:rsidRPr="00296E53" w:rsidRDefault="006F1DB6" w:rsidP="00E41130">
      <w:pPr>
        <w:spacing w:after="0"/>
        <w:rPr>
          <w:rFonts w:ascii="Century Gothic" w:hAnsi="Century Gothic"/>
        </w:rPr>
      </w:pPr>
      <w:r w:rsidRPr="00296E53">
        <w:rPr>
          <w:rFonts w:ascii="Century Gothic" w:hAnsi="Century Gothic"/>
        </w:rPr>
        <w:t xml:space="preserve">Los indicadores de precisión aprobados por el </w:t>
      </w:r>
      <w:r w:rsidR="00AA311A">
        <w:rPr>
          <w:rFonts w:ascii="Century Gothic" w:hAnsi="Century Gothic"/>
        </w:rPr>
        <w:t>C</w:t>
      </w:r>
      <w:r w:rsidRPr="00296E53">
        <w:rPr>
          <w:rFonts w:ascii="Century Gothic" w:hAnsi="Century Gothic"/>
        </w:rPr>
        <w:t>omité se presentan en el siguiente cuadro:</w:t>
      </w:r>
    </w:p>
    <w:p w14:paraId="7A2049F5" w14:textId="77777777" w:rsidR="006F1DB6" w:rsidRPr="00296E53" w:rsidRDefault="006F1DB6" w:rsidP="00E41130">
      <w:pPr>
        <w:spacing w:after="0"/>
        <w:rPr>
          <w:rFonts w:ascii="Century Gothic" w:hAnsi="Century Gothic"/>
        </w:rPr>
      </w:pPr>
    </w:p>
    <w:p w14:paraId="43C23B88" w14:textId="77777777" w:rsidR="006F1DB6" w:rsidRPr="00296E53" w:rsidRDefault="006F1DB6" w:rsidP="00B2435A">
      <w:pPr>
        <w:spacing w:after="0"/>
        <w:jc w:val="center"/>
        <w:rPr>
          <w:rFonts w:ascii="Century Gothic" w:hAnsi="Century Gothic"/>
        </w:rPr>
      </w:pPr>
      <w:r w:rsidRPr="00296E53">
        <w:rPr>
          <w:rFonts w:ascii="Century Gothic" w:hAnsi="Century Gothic"/>
          <w:noProof/>
          <w:lang w:eastAsia="es-MX"/>
        </w:rPr>
        <w:drawing>
          <wp:inline distT="0" distB="0" distL="0" distR="0" wp14:anchorId="42A18F64" wp14:editId="4B06D8E7">
            <wp:extent cx="5492457" cy="308460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1739" cy="3089818"/>
                    </a:xfrm>
                    <a:prstGeom prst="rect">
                      <a:avLst/>
                    </a:prstGeom>
                    <a:noFill/>
                    <a:ln>
                      <a:noFill/>
                    </a:ln>
                  </pic:spPr>
                </pic:pic>
              </a:graphicData>
            </a:graphic>
          </wp:inline>
        </w:drawing>
      </w:r>
    </w:p>
    <w:p w14:paraId="0D72B03E" w14:textId="77777777" w:rsidR="006F1DB6" w:rsidRPr="00296E53" w:rsidRDefault="00CA7C0B" w:rsidP="00E41130">
      <w:pPr>
        <w:spacing w:after="0"/>
        <w:rPr>
          <w:rFonts w:ascii="Century Gothic" w:hAnsi="Century Gothic"/>
        </w:rPr>
      </w:pPr>
      <w:r w:rsidRPr="00296E53">
        <w:rPr>
          <w:rFonts w:ascii="Century Gothic" w:hAnsi="Century Gothic"/>
        </w:rPr>
        <w:t>Retos</w:t>
      </w:r>
      <w:r w:rsidR="006F1DB6" w:rsidRPr="00296E53">
        <w:rPr>
          <w:rFonts w:ascii="Century Gothic" w:hAnsi="Century Gothic"/>
        </w:rPr>
        <w:t>:</w:t>
      </w:r>
    </w:p>
    <w:p w14:paraId="03DFFA37" w14:textId="77777777" w:rsidR="007B7604" w:rsidRPr="00296E53" w:rsidRDefault="007B7604" w:rsidP="007B7604">
      <w:pPr>
        <w:numPr>
          <w:ilvl w:val="1"/>
          <w:numId w:val="1"/>
        </w:numPr>
        <w:tabs>
          <w:tab w:val="clear" w:pos="1440"/>
          <w:tab w:val="num" w:pos="284"/>
        </w:tabs>
        <w:spacing w:after="100"/>
        <w:ind w:left="284" w:hanging="284"/>
        <w:jc w:val="both"/>
        <w:rPr>
          <w:rFonts w:ascii="Century Gothic" w:hAnsi="Century Gothic"/>
          <w:sz w:val="19"/>
          <w:szCs w:val="19"/>
        </w:rPr>
      </w:pPr>
      <w:r w:rsidRPr="00296E53">
        <w:rPr>
          <w:rFonts w:ascii="Century Gothic" w:hAnsi="Century Gothic"/>
          <w:sz w:val="19"/>
          <w:szCs w:val="19"/>
        </w:rPr>
        <w:t xml:space="preserve">El promedio de las tasas de no respuesta </w:t>
      </w:r>
      <w:r w:rsidR="00BA5C61" w:rsidRPr="00296E53">
        <w:rPr>
          <w:rFonts w:ascii="Century Gothic" w:hAnsi="Century Gothic"/>
          <w:sz w:val="19"/>
          <w:szCs w:val="19"/>
        </w:rPr>
        <w:t>aumentó respecto al año ant</w:t>
      </w:r>
      <w:r w:rsidR="000A4284" w:rsidRPr="00296E53">
        <w:rPr>
          <w:rFonts w:ascii="Century Gothic" w:hAnsi="Century Gothic"/>
          <w:sz w:val="19"/>
          <w:szCs w:val="19"/>
        </w:rPr>
        <w:t>erior.  Este efecto es mayor en las encuestas probabilísticas que en los programas cuyo único insumo son los registros administrativos.</w:t>
      </w:r>
    </w:p>
    <w:p w14:paraId="428ED298" w14:textId="395AC604" w:rsidR="007B7604" w:rsidRPr="00296E53" w:rsidRDefault="007B7604" w:rsidP="007B7604">
      <w:pPr>
        <w:numPr>
          <w:ilvl w:val="1"/>
          <w:numId w:val="1"/>
        </w:numPr>
        <w:tabs>
          <w:tab w:val="clear" w:pos="1440"/>
          <w:tab w:val="num" w:pos="284"/>
        </w:tabs>
        <w:spacing w:after="100"/>
        <w:ind w:left="284" w:hanging="284"/>
        <w:jc w:val="both"/>
        <w:rPr>
          <w:rFonts w:ascii="Century Gothic" w:hAnsi="Century Gothic"/>
          <w:sz w:val="19"/>
          <w:szCs w:val="19"/>
        </w:rPr>
      </w:pPr>
      <w:r w:rsidRPr="00296E53">
        <w:rPr>
          <w:rFonts w:ascii="Century Gothic" w:hAnsi="Century Gothic"/>
          <w:sz w:val="19"/>
          <w:szCs w:val="19"/>
        </w:rPr>
        <w:t xml:space="preserve">Se observa, de manera general, estabilidad en los </w:t>
      </w:r>
      <w:r w:rsidR="00232426" w:rsidRPr="00296E53">
        <w:rPr>
          <w:rFonts w:ascii="Century Gothic" w:hAnsi="Century Gothic"/>
          <w:sz w:val="19"/>
          <w:szCs w:val="19"/>
        </w:rPr>
        <w:t>c</w:t>
      </w:r>
      <w:r w:rsidRPr="00296E53">
        <w:rPr>
          <w:rFonts w:ascii="Century Gothic" w:hAnsi="Century Gothic"/>
          <w:sz w:val="19"/>
          <w:szCs w:val="19"/>
        </w:rPr>
        <w:t xml:space="preserve">oeficientes de </w:t>
      </w:r>
      <w:r w:rsidR="00232426" w:rsidRPr="00296E53">
        <w:rPr>
          <w:rFonts w:ascii="Century Gothic" w:hAnsi="Century Gothic"/>
          <w:sz w:val="19"/>
          <w:szCs w:val="19"/>
        </w:rPr>
        <w:t>v</w:t>
      </w:r>
      <w:r w:rsidRPr="00296E53">
        <w:rPr>
          <w:rFonts w:ascii="Century Gothic" w:hAnsi="Century Gothic"/>
          <w:sz w:val="19"/>
          <w:szCs w:val="19"/>
        </w:rPr>
        <w:t>ariación de los programas de información en hogares; y una ligera disminución de precisión en los programas de información en unidades económicas (EMS y ENEC)</w:t>
      </w:r>
    </w:p>
    <w:p w14:paraId="7C31D70C" w14:textId="77777777" w:rsidR="00017748" w:rsidRPr="00296E53" w:rsidRDefault="006F4103" w:rsidP="00232426">
      <w:pPr>
        <w:numPr>
          <w:ilvl w:val="1"/>
          <w:numId w:val="1"/>
        </w:numPr>
        <w:tabs>
          <w:tab w:val="clear" w:pos="1440"/>
          <w:tab w:val="num" w:pos="284"/>
        </w:tabs>
        <w:spacing w:after="100"/>
        <w:ind w:left="284" w:hanging="284"/>
        <w:jc w:val="both"/>
        <w:rPr>
          <w:rFonts w:ascii="Century Gothic" w:hAnsi="Century Gothic"/>
          <w:sz w:val="19"/>
          <w:szCs w:val="19"/>
        </w:rPr>
      </w:pPr>
      <w:r w:rsidRPr="00296E53">
        <w:rPr>
          <w:rFonts w:ascii="Century Gothic" w:hAnsi="Century Gothic"/>
          <w:sz w:val="19"/>
          <w:szCs w:val="19"/>
        </w:rPr>
        <w:t xml:space="preserve">En </w:t>
      </w:r>
      <w:r w:rsidR="007B7604" w:rsidRPr="00296E53">
        <w:rPr>
          <w:rFonts w:ascii="Century Gothic" w:hAnsi="Century Gothic"/>
          <w:sz w:val="19"/>
          <w:szCs w:val="19"/>
        </w:rPr>
        <w:t>2020</w:t>
      </w:r>
      <w:r w:rsidRPr="00296E53">
        <w:rPr>
          <w:rFonts w:ascii="Century Gothic" w:hAnsi="Century Gothic"/>
          <w:sz w:val="19"/>
          <w:szCs w:val="19"/>
        </w:rPr>
        <w:t xml:space="preserve"> no se avanzó en la medición del error medio cuadrático planimétrico y el error medio cuadrático vertical.</w:t>
      </w:r>
      <w:r w:rsidR="00232426" w:rsidRPr="00296E53">
        <w:rPr>
          <w:rFonts w:ascii="Century Gothic" w:hAnsi="Century Gothic"/>
          <w:sz w:val="19"/>
          <w:szCs w:val="19"/>
        </w:rPr>
        <w:t xml:space="preserve"> </w:t>
      </w:r>
      <w:r w:rsidR="00017748" w:rsidRPr="00296E53">
        <w:rPr>
          <w:rFonts w:ascii="Century Gothic" w:hAnsi="Century Gothic"/>
          <w:sz w:val="19"/>
          <w:szCs w:val="19"/>
        </w:rPr>
        <w:t>Es necesario continuar los esfuerzos para que se reporten estos indicadores en los plazos y formatos acordados con el fin de facilitar su uso e interpretación.</w:t>
      </w:r>
    </w:p>
    <w:p w14:paraId="1F13F2A7" w14:textId="77777777" w:rsidR="007B0640" w:rsidRPr="00296E53" w:rsidRDefault="007B0640" w:rsidP="006F4103">
      <w:pPr>
        <w:numPr>
          <w:ilvl w:val="1"/>
          <w:numId w:val="1"/>
        </w:numPr>
        <w:tabs>
          <w:tab w:val="clear" w:pos="1440"/>
          <w:tab w:val="num" w:pos="284"/>
        </w:tabs>
        <w:spacing w:after="100"/>
        <w:ind w:left="284" w:hanging="284"/>
        <w:jc w:val="both"/>
        <w:rPr>
          <w:rFonts w:ascii="Century Gothic" w:hAnsi="Century Gothic"/>
          <w:sz w:val="19"/>
          <w:szCs w:val="19"/>
        </w:rPr>
      </w:pPr>
      <w:r w:rsidRPr="00296E53">
        <w:rPr>
          <w:rFonts w:ascii="Century Gothic" w:hAnsi="Century Gothic"/>
          <w:sz w:val="19"/>
          <w:szCs w:val="19"/>
        </w:rPr>
        <w:t>Derivado de la pandemia se ha visto la necesidad de definir dominios de estudio prioritarios en cada programa de información con el fin de asegurar la producción de información relevante.</w:t>
      </w:r>
    </w:p>
    <w:p w14:paraId="5B50BDEB" w14:textId="77777777" w:rsidR="00F559C1" w:rsidRPr="00296E53" w:rsidRDefault="00F559C1" w:rsidP="00F559C1">
      <w:pPr>
        <w:spacing w:after="100"/>
        <w:jc w:val="both"/>
        <w:rPr>
          <w:rFonts w:ascii="Century Gothic" w:hAnsi="Century Gothic"/>
          <w:sz w:val="19"/>
          <w:szCs w:val="19"/>
        </w:rPr>
      </w:pPr>
    </w:p>
    <w:tbl>
      <w:tblPr>
        <w:tblW w:w="10795" w:type="dxa"/>
        <w:jc w:val="center"/>
        <w:tblBorders>
          <w:insideH w:val="single" w:sz="36" w:space="0" w:color="FFFFFF" w:themeColor="background1"/>
        </w:tblBorders>
        <w:tblLook w:val="04A0" w:firstRow="1" w:lastRow="0" w:firstColumn="1" w:lastColumn="0" w:noHBand="0" w:noVBand="1"/>
      </w:tblPr>
      <w:tblGrid>
        <w:gridCol w:w="1827"/>
        <w:gridCol w:w="5999"/>
        <w:gridCol w:w="1682"/>
        <w:gridCol w:w="1287"/>
      </w:tblGrid>
      <w:tr w:rsidR="00F559C1" w:rsidRPr="00296E53" w14:paraId="5F1EFF13" w14:textId="77777777" w:rsidTr="00115DE7">
        <w:trPr>
          <w:jc w:val="center"/>
        </w:trPr>
        <w:tc>
          <w:tcPr>
            <w:tcW w:w="1827" w:type="dxa"/>
            <w:tcBorders>
              <w:top w:val="nil"/>
            </w:tcBorders>
            <w:shd w:val="clear" w:color="auto" w:fill="C5EAFF"/>
            <w:vAlign w:val="center"/>
          </w:tcPr>
          <w:p w14:paraId="4392C4A0" w14:textId="77777777" w:rsidR="00F559C1" w:rsidRPr="00296E53" w:rsidRDefault="00F559C1" w:rsidP="007B01CD">
            <w:pPr>
              <w:spacing w:after="120"/>
              <w:rPr>
                <w:rFonts w:ascii="Century Gothic" w:hAnsi="Century Gothic"/>
                <w:b/>
                <w:color w:val="1F3864" w:themeColor="accent5" w:themeShade="80"/>
                <w:szCs w:val="18"/>
              </w:rPr>
            </w:pPr>
          </w:p>
        </w:tc>
        <w:tc>
          <w:tcPr>
            <w:tcW w:w="5999" w:type="dxa"/>
            <w:tcBorders>
              <w:top w:val="nil"/>
              <w:bottom w:val="single" w:sz="36" w:space="0" w:color="FFFFFF" w:themeColor="background1"/>
              <w:right w:val="nil"/>
            </w:tcBorders>
            <w:shd w:val="clear" w:color="auto" w:fill="C5EAFF"/>
            <w:vAlign w:val="center"/>
          </w:tcPr>
          <w:p w14:paraId="708E094F" w14:textId="77777777" w:rsidR="00F559C1" w:rsidRPr="00296E53" w:rsidRDefault="00F559C1" w:rsidP="007B01CD">
            <w:pPr>
              <w:spacing w:after="0" w:line="276" w:lineRule="auto"/>
              <w:ind w:left="79" w:right="51"/>
              <w:jc w:val="both"/>
              <w:rPr>
                <w:rFonts w:ascii="Century Gothic" w:hAnsi="Century Gothic"/>
                <w:color w:val="1F3864" w:themeColor="accent5" w:themeShade="80"/>
                <w:sz w:val="18"/>
                <w:szCs w:val="18"/>
              </w:rPr>
            </w:pPr>
          </w:p>
        </w:tc>
        <w:tc>
          <w:tcPr>
            <w:tcW w:w="1682" w:type="dxa"/>
            <w:tcBorders>
              <w:top w:val="nil"/>
              <w:left w:val="nil"/>
              <w:bottom w:val="single" w:sz="36" w:space="0" w:color="FFFFFF" w:themeColor="background1"/>
              <w:right w:val="single" w:sz="4" w:space="0" w:color="C5EAFF"/>
            </w:tcBorders>
            <w:shd w:val="clear" w:color="auto" w:fill="C5EAFF"/>
            <w:vAlign w:val="center"/>
          </w:tcPr>
          <w:p w14:paraId="14081E14" w14:textId="77777777" w:rsidR="00F559C1" w:rsidRPr="00296E53" w:rsidRDefault="00F559C1" w:rsidP="007B01CD">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2019</w:t>
            </w:r>
          </w:p>
        </w:tc>
        <w:tc>
          <w:tcPr>
            <w:tcW w:w="1287" w:type="dxa"/>
            <w:tcBorders>
              <w:top w:val="nil"/>
              <w:left w:val="single" w:sz="4" w:space="0" w:color="FFFFFF" w:themeColor="background1"/>
              <w:bottom w:val="single" w:sz="36" w:space="0" w:color="FFFFFF" w:themeColor="background1"/>
              <w:right w:val="single" w:sz="4" w:space="0" w:color="C5EAFF"/>
            </w:tcBorders>
            <w:shd w:val="clear" w:color="auto" w:fill="C5EAFF"/>
          </w:tcPr>
          <w:p w14:paraId="16769AD8" w14:textId="77777777" w:rsidR="00F559C1" w:rsidRPr="00296E53" w:rsidRDefault="00F559C1" w:rsidP="007B01CD">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2020</w:t>
            </w:r>
          </w:p>
        </w:tc>
      </w:tr>
      <w:tr w:rsidR="00F559C1" w:rsidRPr="00296E53" w14:paraId="727D571F" w14:textId="77777777" w:rsidTr="00115DE7">
        <w:trPr>
          <w:jc w:val="center"/>
        </w:trPr>
        <w:tc>
          <w:tcPr>
            <w:tcW w:w="1827" w:type="dxa"/>
            <w:tcBorders>
              <w:top w:val="nil"/>
            </w:tcBorders>
            <w:shd w:val="clear" w:color="auto" w:fill="C5EAFF"/>
            <w:vAlign w:val="center"/>
          </w:tcPr>
          <w:p w14:paraId="432C54FE" w14:textId="77777777" w:rsidR="00F559C1" w:rsidRPr="00296E53" w:rsidRDefault="00F559C1" w:rsidP="007B01CD">
            <w:pPr>
              <w:spacing w:after="120"/>
              <w:rPr>
                <w:rFonts w:ascii="Century Gothic" w:hAnsi="Century Gothic"/>
                <w:b/>
                <w:color w:val="1F3864" w:themeColor="accent5" w:themeShade="80"/>
                <w:szCs w:val="18"/>
              </w:rPr>
            </w:pPr>
            <w:r w:rsidRPr="00296E53">
              <w:rPr>
                <w:rFonts w:ascii="Century Gothic" w:hAnsi="Century Gothic"/>
                <w:b/>
                <w:color w:val="1F3864" w:themeColor="accent5" w:themeShade="80"/>
                <w:szCs w:val="18"/>
              </w:rPr>
              <w:t>Registros Administrativos</w:t>
            </w:r>
          </w:p>
        </w:tc>
        <w:tc>
          <w:tcPr>
            <w:tcW w:w="5999" w:type="dxa"/>
            <w:tcBorders>
              <w:top w:val="nil"/>
              <w:bottom w:val="single" w:sz="36" w:space="0" w:color="FFFFFF" w:themeColor="background1"/>
              <w:right w:val="nil"/>
            </w:tcBorders>
            <w:shd w:val="clear" w:color="auto" w:fill="C5EAFF"/>
            <w:vAlign w:val="center"/>
          </w:tcPr>
          <w:p w14:paraId="16C56CFE" w14:textId="77777777" w:rsidR="00F559C1" w:rsidRPr="00296E53" w:rsidRDefault="00380284" w:rsidP="007B01CD">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Promedio de las tasas de no respuesta por unidad</w:t>
            </w:r>
          </w:p>
        </w:tc>
        <w:tc>
          <w:tcPr>
            <w:tcW w:w="1682"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2EF30226" w14:textId="77777777" w:rsidR="00F559C1" w:rsidRPr="00296E53" w:rsidRDefault="00380284" w:rsidP="007B01CD">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1.0</w:t>
            </w:r>
            <w:r w:rsidR="00F84ADC" w:rsidRPr="00296E53">
              <w:rPr>
                <w:rFonts w:ascii="Century Gothic" w:hAnsi="Century Gothic"/>
                <w:b/>
                <w:color w:val="1F3864" w:themeColor="accent5" w:themeShade="80"/>
                <w:sz w:val="28"/>
                <w:szCs w:val="20"/>
              </w:rPr>
              <w:t>%</w:t>
            </w:r>
          </w:p>
        </w:tc>
        <w:tc>
          <w:tcPr>
            <w:tcW w:w="1287" w:type="dxa"/>
            <w:tcBorders>
              <w:top w:val="nil"/>
              <w:left w:val="single" w:sz="4" w:space="0" w:color="FFFFFF" w:themeColor="background1"/>
              <w:bottom w:val="single" w:sz="36" w:space="0" w:color="FFFFFF" w:themeColor="background1"/>
              <w:right w:val="single" w:sz="4" w:space="0" w:color="C5EAFF"/>
            </w:tcBorders>
            <w:shd w:val="clear" w:color="auto" w:fill="C5EAFF"/>
            <w:vAlign w:val="center"/>
          </w:tcPr>
          <w:p w14:paraId="3BA63649" w14:textId="77777777" w:rsidR="00F559C1" w:rsidRPr="00296E53" w:rsidRDefault="00380284" w:rsidP="007B01CD">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18"/>
              </w:rPr>
              <w:t>1.</w:t>
            </w:r>
            <w:r w:rsidR="0034487F" w:rsidRPr="00296E53">
              <w:rPr>
                <w:rFonts w:ascii="Century Gothic" w:hAnsi="Century Gothic"/>
                <w:b/>
                <w:color w:val="1F3864" w:themeColor="accent5" w:themeShade="80"/>
                <w:sz w:val="28"/>
                <w:szCs w:val="18"/>
              </w:rPr>
              <w:t>4</w:t>
            </w:r>
            <w:r w:rsidR="00F559C1" w:rsidRPr="00296E53">
              <w:rPr>
                <w:rFonts w:ascii="Century Gothic" w:hAnsi="Century Gothic"/>
                <w:b/>
                <w:color w:val="1F3864" w:themeColor="accent5" w:themeShade="80"/>
                <w:sz w:val="28"/>
                <w:szCs w:val="18"/>
              </w:rPr>
              <w:t>%</w:t>
            </w:r>
          </w:p>
        </w:tc>
      </w:tr>
      <w:tr w:rsidR="00115DE7" w:rsidRPr="00296E53" w14:paraId="32C105B2" w14:textId="77777777" w:rsidTr="00115DE7">
        <w:trPr>
          <w:jc w:val="center"/>
        </w:trPr>
        <w:tc>
          <w:tcPr>
            <w:tcW w:w="1827" w:type="dxa"/>
            <w:vMerge w:val="restart"/>
            <w:shd w:val="clear" w:color="auto" w:fill="C5EAFF"/>
            <w:vAlign w:val="center"/>
          </w:tcPr>
          <w:p w14:paraId="4D8440D7" w14:textId="77777777" w:rsidR="00115DE7" w:rsidRPr="00296E53" w:rsidRDefault="00115DE7" w:rsidP="007B01CD">
            <w:pPr>
              <w:spacing w:after="120"/>
              <w:rPr>
                <w:rFonts w:ascii="Century Gothic" w:hAnsi="Century Gothic"/>
                <w:b/>
                <w:color w:val="1F3864" w:themeColor="accent5" w:themeShade="80"/>
                <w:szCs w:val="18"/>
              </w:rPr>
            </w:pPr>
            <w:r w:rsidRPr="00296E53">
              <w:rPr>
                <w:rFonts w:ascii="Century Gothic" w:hAnsi="Century Gothic"/>
                <w:b/>
                <w:color w:val="1F3864" w:themeColor="accent5" w:themeShade="80"/>
                <w:szCs w:val="18"/>
              </w:rPr>
              <w:t>Encuestas probabilísticas</w:t>
            </w:r>
          </w:p>
        </w:tc>
        <w:tc>
          <w:tcPr>
            <w:tcW w:w="5999" w:type="dxa"/>
            <w:tcBorders>
              <w:top w:val="single" w:sz="36" w:space="0" w:color="FFFFFF" w:themeColor="background1"/>
              <w:bottom w:val="single" w:sz="36" w:space="0" w:color="FFFFFF" w:themeColor="background1"/>
              <w:right w:val="nil"/>
            </w:tcBorders>
            <w:shd w:val="clear" w:color="auto" w:fill="C5EAFF"/>
            <w:vAlign w:val="center"/>
          </w:tcPr>
          <w:p w14:paraId="65B84641" w14:textId="77777777" w:rsidR="00115DE7" w:rsidRPr="00296E53" w:rsidRDefault="00115DE7" w:rsidP="007B01CD">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Porcentaje de encuestas con muestreo probabilístico cuyo máximo coeficiente de variación refleja un nivel de precisión alto o moderado (coeficiente de variación menor a 30).</w:t>
            </w:r>
          </w:p>
        </w:tc>
        <w:tc>
          <w:tcPr>
            <w:tcW w:w="1682"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696C16C2" w14:textId="77777777" w:rsidR="00115DE7" w:rsidRPr="00296E53" w:rsidRDefault="00115DE7" w:rsidP="007B01CD">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80%</w:t>
            </w:r>
          </w:p>
        </w:tc>
        <w:tc>
          <w:tcPr>
            <w:tcW w:w="1287" w:type="dxa"/>
            <w:tcBorders>
              <w:top w:val="single" w:sz="36" w:space="0" w:color="FFFFFF" w:themeColor="background1"/>
              <w:left w:val="single" w:sz="4" w:space="0" w:color="FFFFFF" w:themeColor="background1"/>
              <w:bottom w:val="single" w:sz="36" w:space="0" w:color="FFFFFF" w:themeColor="background1"/>
              <w:right w:val="single" w:sz="4" w:space="0" w:color="C5EAFF"/>
            </w:tcBorders>
            <w:shd w:val="clear" w:color="auto" w:fill="C5EAFF"/>
            <w:vAlign w:val="center"/>
          </w:tcPr>
          <w:p w14:paraId="72B206EF" w14:textId="77777777" w:rsidR="00115DE7" w:rsidRPr="00296E53" w:rsidRDefault="00115DE7" w:rsidP="007B01CD">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20"/>
              </w:rPr>
              <w:t>81%</w:t>
            </w:r>
          </w:p>
        </w:tc>
      </w:tr>
      <w:tr w:rsidR="00115DE7" w:rsidRPr="00296E53" w14:paraId="5EA35507" w14:textId="77777777" w:rsidTr="00115DE7">
        <w:trPr>
          <w:jc w:val="center"/>
        </w:trPr>
        <w:tc>
          <w:tcPr>
            <w:tcW w:w="1827" w:type="dxa"/>
            <w:vMerge/>
            <w:shd w:val="clear" w:color="auto" w:fill="C5EAFF"/>
            <w:vAlign w:val="center"/>
          </w:tcPr>
          <w:p w14:paraId="320455B5" w14:textId="77777777" w:rsidR="00115DE7" w:rsidRPr="00296E53" w:rsidRDefault="00115DE7" w:rsidP="007B01CD">
            <w:pPr>
              <w:spacing w:after="120"/>
              <w:rPr>
                <w:rFonts w:ascii="Century Gothic" w:hAnsi="Century Gothic"/>
                <w:b/>
                <w:color w:val="1F3864" w:themeColor="accent5" w:themeShade="80"/>
                <w:szCs w:val="18"/>
              </w:rPr>
            </w:pPr>
          </w:p>
        </w:tc>
        <w:tc>
          <w:tcPr>
            <w:tcW w:w="5999" w:type="dxa"/>
            <w:tcBorders>
              <w:top w:val="single" w:sz="36" w:space="0" w:color="FFFFFF" w:themeColor="background1"/>
              <w:bottom w:val="single" w:sz="8" w:space="0" w:color="FFFFFF" w:themeColor="background1"/>
              <w:right w:val="nil"/>
            </w:tcBorders>
            <w:shd w:val="clear" w:color="auto" w:fill="C5EAFF"/>
            <w:vAlign w:val="center"/>
          </w:tcPr>
          <w:p w14:paraId="6B58C4A3" w14:textId="77777777" w:rsidR="00115DE7" w:rsidRPr="00296E53" w:rsidRDefault="00115DE7" w:rsidP="007B01CD">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Promedio de las tasas de no respuesta antes de imputación (ponderadas)</w:t>
            </w:r>
          </w:p>
        </w:tc>
        <w:tc>
          <w:tcPr>
            <w:tcW w:w="1682" w:type="dxa"/>
            <w:tcBorders>
              <w:top w:val="single" w:sz="36" w:space="0" w:color="FFFFFF" w:themeColor="background1"/>
              <w:left w:val="nil"/>
              <w:bottom w:val="single" w:sz="8" w:space="0" w:color="FFFFFF" w:themeColor="background1"/>
              <w:right w:val="single" w:sz="4" w:space="0" w:color="C5EAFF"/>
            </w:tcBorders>
            <w:shd w:val="clear" w:color="auto" w:fill="C5EAFF"/>
            <w:vAlign w:val="center"/>
          </w:tcPr>
          <w:p w14:paraId="477C90C8" w14:textId="77777777" w:rsidR="00115DE7" w:rsidRPr="00296E53" w:rsidRDefault="00115DE7" w:rsidP="007B01CD">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12%</w:t>
            </w:r>
          </w:p>
        </w:tc>
        <w:tc>
          <w:tcPr>
            <w:tcW w:w="1287" w:type="dxa"/>
            <w:tcBorders>
              <w:top w:val="single" w:sz="36" w:space="0" w:color="FFFFFF" w:themeColor="background1"/>
              <w:left w:val="single" w:sz="4" w:space="0" w:color="FFFFFF" w:themeColor="background1"/>
              <w:bottom w:val="single" w:sz="8" w:space="0" w:color="FFFFFF" w:themeColor="background1"/>
              <w:right w:val="single" w:sz="4" w:space="0" w:color="C5EAFF"/>
            </w:tcBorders>
            <w:shd w:val="clear" w:color="auto" w:fill="C5EAFF"/>
            <w:vAlign w:val="center"/>
          </w:tcPr>
          <w:p w14:paraId="10CB3455" w14:textId="77777777" w:rsidR="00115DE7" w:rsidRPr="00296E53" w:rsidRDefault="00115DE7" w:rsidP="007B01CD">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20"/>
              </w:rPr>
              <w:t>15</w:t>
            </w:r>
            <w:r w:rsidRPr="00296E53">
              <w:rPr>
                <w:rFonts w:ascii="Century Gothic" w:hAnsi="Century Gothic"/>
                <w:b/>
                <w:color w:val="1F3864" w:themeColor="accent5" w:themeShade="80"/>
                <w:sz w:val="24"/>
                <w:szCs w:val="18"/>
              </w:rPr>
              <w:t>%</w:t>
            </w:r>
          </w:p>
        </w:tc>
      </w:tr>
    </w:tbl>
    <w:p w14:paraId="3B01D791" w14:textId="77777777" w:rsidR="00993DB4" w:rsidRPr="00296E53" w:rsidRDefault="00993DB4">
      <w:pPr>
        <w:rPr>
          <w:rFonts w:ascii="Century Gothic" w:hAnsi="Century Gothic"/>
          <w:b/>
        </w:rPr>
      </w:pPr>
      <w:r w:rsidRPr="00296E53">
        <w:rPr>
          <w:rFonts w:ascii="Century Gothic" w:hAnsi="Century Gothic"/>
          <w:b/>
        </w:rPr>
        <w:br w:type="page"/>
      </w:r>
    </w:p>
    <w:tbl>
      <w:tblPr>
        <w:tblW w:w="12763" w:type="dxa"/>
        <w:tblInd w:w="-1139" w:type="dxa"/>
        <w:tblLook w:val="04A0" w:firstRow="1" w:lastRow="0" w:firstColumn="1" w:lastColumn="0" w:noHBand="0" w:noVBand="1"/>
      </w:tblPr>
      <w:tblGrid>
        <w:gridCol w:w="4820"/>
        <w:gridCol w:w="7943"/>
      </w:tblGrid>
      <w:tr w:rsidR="005D7A81" w:rsidRPr="00296E53" w14:paraId="17245C51" w14:textId="77777777" w:rsidTr="00546277">
        <w:trPr>
          <w:trHeight w:val="433"/>
        </w:trPr>
        <w:tc>
          <w:tcPr>
            <w:tcW w:w="4820" w:type="dxa"/>
            <w:shd w:val="clear" w:color="auto" w:fill="auto"/>
          </w:tcPr>
          <w:p w14:paraId="50B7B057" w14:textId="77777777" w:rsidR="005D7A81" w:rsidRPr="00296E53" w:rsidRDefault="005D7A81" w:rsidP="00546277">
            <w:pPr>
              <w:rPr>
                <w:rFonts w:cstheme="minorHAnsi"/>
                <w:color w:val="0079BF"/>
                <w:sz w:val="2"/>
                <w:szCs w:val="18"/>
              </w:rPr>
            </w:pPr>
          </w:p>
        </w:tc>
        <w:tc>
          <w:tcPr>
            <w:tcW w:w="7943" w:type="dxa"/>
            <w:shd w:val="clear" w:color="auto" w:fill="auto"/>
          </w:tcPr>
          <w:p w14:paraId="31F4CB34" w14:textId="77777777" w:rsidR="005D7A81" w:rsidRPr="00296E53" w:rsidRDefault="005D7A81" w:rsidP="00546277">
            <w:pPr>
              <w:spacing w:after="0"/>
              <w:jc w:val="center"/>
              <w:rPr>
                <w:rFonts w:cstheme="minorHAnsi"/>
                <w:color w:val="0079BF"/>
                <w:sz w:val="40"/>
                <w:szCs w:val="160"/>
              </w:rPr>
            </w:pPr>
            <w:proofErr w:type="spellStart"/>
            <w:r w:rsidRPr="00296E53">
              <w:rPr>
                <w:rFonts w:cstheme="minorHAnsi"/>
                <w:color w:val="0079BF"/>
                <w:sz w:val="2"/>
                <w:szCs w:val="18"/>
              </w:rPr>
              <w:t>a</w:t>
            </w:r>
            <w:r w:rsidRPr="00296E53">
              <w:rPr>
                <w:rFonts w:cstheme="minorHAnsi"/>
                <w:color w:val="0079BF"/>
                <w:sz w:val="36"/>
                <w:szCs w:val="144"/>
              </w:rPr>
              <w:t>GESTIÓN</w:t>
            </w:r>
            <w:proofErr w:type="spellEnd"/>
            <w:r w:rsidRPr="00296E53">
              <w:rPr>
                <w:rFonts w:cstheme="minorHAnsi"/>
                <w:color w:val="0079BF"/>
                <w:sz w:val="36"/>
                <w:szCs w:val="144"/>
              </w:rPr>
              <w:t xml:space="preserve"> DE LAS MEJORAS</w:t>
            </w:r>
          </w:p>
        </w:tc>
      </w:tr>
      <w:tr w:rsidR="005D7A81" w:rsidRPr="00296E53" w14:paraId="686B422D" w14:textId="77777777" w:rsidTr="00546277">
        <w:trPr>
          <w:trHeight w:val="201"/>
        </w:trPr>
        <w:tc>
          <w:tcPr>
            <w:tcW w:w="4820" w:type="dxa"/>
            <w:shd w:val="clear" w:color="auto" w:fill="1F3864" w:themeFill="accent5" w:themeFillShade="80"/>
          </w:tcPr>
          <w:p w14:paraId="68F63B68" w14:textId="77777777" w:rsidR="005D7A81" w:rsidRPr="00296E53" w:rsidRDefault="005D7A81" w:rsidP="00546277">
            <w:pPr>
              <w:rPr>
                <w:rFonts w:cstheme="minorHAnsi"/>
                <w:color w:val="FFFFFF" w:themeColor="background1"/>
                <w:sz w:val="2"/>
                <w:szCs w:val="18"/>
              </w:rPr>
            </w:pPr>
          </w:p>
        </w:tc>
        <w:tc>
          <w:tcPr>
            <w:tcW w:w="7943" w:type="dxa"/>
            <w:shd w:val="clear" w:color="auto" w:fill="auto"/>
          </w:tcPr>
          <w:p w14:paraId="4951F686" w14:textId="77777777" w:rsidR="005D7A81" w:rsidRPr="00296E53" w:rsidRDefault="005D7A81" w:rsidP="00546277">
            <w:pPr>
              <w:rPr>
                <w:rFonts w:cstheme="minorHAnsi"/>
                <w:color w:val="FFFFFF" w:themeColor="background1"/>
                <w:sz w:val="2"/>
                <w:szCs w:val="18"/>
              </w:rPr>
            </w:pPr>
          </w:p>
        </w:tc>
      </w:tr>
      <w:tr w:rsidR="005D7A81" w:rsidRPr="00296E53" w14:paraId="3A89664B" w14:textId="77777777" w:rsidTr="00546277">
        <w:trPr>
          <w:trHeight w:val="201"/>
        </w:trPr>
        <w:tc>
          <w:tcPr>
            <w:tcW w:w="4820" w:type="dxa"/>
            <w:shd w:val="clear" w:color="auto" w:fill="0079BF"/>
          </w:tcPr>
          <w:p w14:paraId="75D6ADD5" w14:textId="77777777" w:rsidR="005D7A81" w:rsidRPr="00296E53" w:rsidRDefault="005D7A81" w:rsidP="00546277">
            <w:pPr>
              <w:rPr>
                <w:rFonts w:cstheme="minorHAnsi"/>
                <w:color w:val="FFFFFF" w:themeColor="background1"/>
                <w:sz w:val="2"/>
                <w:szCs w:val="18"/>
              </w:rPr>
            </w:pPr>
          </w:p>
        </w:tc>
        <w:tc>
          <w:tcPr>
            <w:tcW w:w="7943" w:type="dxa"/>
            <w:shd w:val="clear" w:color="auto" w:fill="0079BF"/>
          </w:tcPr>
          <w:p w14:paraId="47D7BD63" w14:textId="77777777" w:rsidR="005D7A81" w:rsidRPr="00296E53" w:rsidRDefault="005D7A81" w:rsidP="00546277">
            <w:pPr>
              <w:rPr>
                <w:rFonts w:cstheme="minorHAnsi"/>
                <w:color w:val="FFFFFF" w:themeColor="background1"/>
                <w:sz w:val="2"/>
                <w:szCs w:val="18"/>
              </w:rPr>
            </w:pPr>
          </w:p>
        </w:tc>
      </w:tr>
    </w:tbl>
    <w:p w14:paraId="4426113B" w14:textId="77777777" w:rsidR="00EC3679" w:rsidRPr="00296E53" w:rsidRDefault="009F3663" w:rsidP="004D352F">
      <w:pPr>
        <w:pStyle w:val="Ttulo1"/>
        <w:ind w:left="2835" w:hanging="2835"/>
        <w:rPr>
          <w:rFonts w:ascii="Century Gothic" w:eastAsiaTheme="minorHAnsi" w:hAnsi="Century Gothic" w:cstheme="minorBidi"/>
          <w:b/>
          <w:color w:val="auto"/>
          <w:sz w:val="22"/>
          <w:szCs w:val="22"/>
        </w:rPr>
      </w:pPr>
      <w:bookmarkStart w:id="8" w:name="_Toc65502226"/>
      <w:r w:rsidRPr="00296E53">
        <w:rPr>
          <w:rFonts w:ascii="Century Gothic" w:eastAsiaTheme="minorHAnsi" w:hAnsi="Century Gothic" w:cstheme="minorBidi"/>
          <w:b/>
          <w:color w:val="auto"/>
          <w:sz w:val="22"/>
          <w:szCs w:val="22"/>
        </w:rPr>
        <w:t>Actividad estratégica 3</w:t>
      </w:r>
      <w:r w:rsidR="00EC3679" w:rsidRPr="00296E53">
        <w:rPr>
          <w:rFonts w:ascii="Century Gothic" w:eastAsiaTheme="minorHAnsi" w:hAnsi="Century Gothic" w:cstheme="minorBidi"/>
          <w:b/>
          <w:color w:val="auto"/>
          <w:sz w:val="22"/>
          <w:szCs w:val="22"/>
        </w:rPr>
        <w:t xml:space="preserve">. </w:t>
      </w:r>
      <w:r w:rsidRPr="00296E53">
        <w:rPr>
          <w:rFonts w:ascii="Century Gothic" w:eastAsiaTheme="minorHAnsi" w:hAnsi="Century Gothic" w:cstheme="minorBidi"/>
          <w:b/>
          <w:color w:val="auto"/>
          <w:sz w:val="22"/>
          <w:szCs w:val="22"/>
        </w:rPr>
        <w:tab/>
      </w:r>
      <w:r w:rsidR="00EC3679" w:rsidRPr="00296E53">
        <w:rPr>
          <w:rFonts w:ascii="Century Gothic" w:eastAsiaTheme="minorHAnsi" w:hAnsi="Century Gothic" w:cstheme="minorBidi"/>
          <w:b/>
          <w:color w:val="auto"/>
          <w:sz w:val="22"/>
          <w:szCs w:val="22"/>
        </w:rPr>
        <w:t>Desarrollar protocolos para medir y documentar el impacto de las mejoras</w:t>
      </w:r>
      <w:bookmarkEnd w:id="8"/>
      <w:r w:rsidR="00EC3679" w:rsidRPr="00296E53">
        <w:rPr>
          <w:rFonts w:ascii="Century Gothic" w:eastAsiaTheme="minorHAnsi" w:hAnsi="Century Gothic" w:cstheme="minorBidi"/>
          <w:b/>
          <w:color w:val="auto"/>
          <w:sz w:val="22"/>
          <w:szCs w:val="22"/>
        </w:rPr>
        <w:t xml:space="preserve"> </w:t>
      </w:r>
    </w:p>
    <w:p w14:paraId="036FD0F0" w14:textId="77777777" w:rsidR="00EC3679" w:rsidRPr="00296E53" w:rsidRDefault="00EC3679" w:rsidP="009F3663">
      <w:pPr>
        <w:spacing w:after="120"/>
        <w:rPr>
          <w:rFonts w:ascii="Century Gothic" w:hAnsi="Century Gothic"/>
          <w:b/>
          <w:sz w:val="18"/>
        </w:rPr>
      </w:pP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0800"/>
      </w:tblGrid>
      <w:tr w:rsidR="00365C0A" w:rsidRPr="00296E53" w14:paraId="51041009" w14:textId="77777777" w:rsidTr="00365C0A">
        <w:trPr>
          <w:jc w:val="center"/>
        </w:trPr>
        <w:tc>
          <w:tcPr>
            <w:tcW w:w="10937" w:type="dxa"/>
            <w:shd w:val="clear" w:color="auto" w:fill="C5EAFF"/>
          </w:tcPr>
          <w:p w14:paraId="73AF4C1E" w14:textId="77777777" w:rsidR="00365C0A" w:rsidRPr="00296E53" w:rsidRDefault="00365C0A" w:rsidP="009F3663">
            <w:pPr>
              <w:pStyle w:val="Default"/>
              <w:spacing w:after="120"/>
              <w:jc w:val="center"/>
              <w:rPr>
                <w:rFonts w:ascii="Century Gothic" w:hAnsi="Century Gothic"/>
                <w:color w:val="404040" w:themeColor="text1" w:themeTint="BF"/>
                <w:sz w:val="18"/>
                <w:szCs w:val="18"/>
                <w:lang w:val="es-MX"/>
              </w:rPr>
            </w:pPr>
            <w:r w:rsidRPr="00296E53">
              <w:rPr>
                <w:rFonts w:ascii="Century Gothic" w:hAnsi="Century Gothic"/>
                <w:b/>
                <w:bCs/>
                <w:color w:val="404040" w:themeColor="text1" w:themeTint="BF"/>
                <w:sz w:val="18"/>
                <w:szCs w:val="18"/>
                <w:lang w:val="es-MX"/>
              </w:rPr>
              <w:t xml:space="preserve">Metas 2020-2022: </w:t>
            </w:r>
          </w:p>
          <w:p w14:paraId="27081F4C" w14:textId="6A6B493D" w:rsidR="0039699B" w:rsidRPr="00296E53" w:rsidRDefault="00365C0A" w:rsidP="0039699B">
            <w:pPr>
              <w:pStyle w:val="Default"/>
              <w:spacing w:after="120"/>
              <w:ind w:left="180" w:hanging="180"/>
              <w:rPr>
                <w:rFonts w:ascii="Century Gothic" w:hAnsi="Century Gothic"/>
                <w:color w:val="404040" w:themeColor="text1" w:themeTint="BF"/>
                <w:sz w:val="18"/>
                <w:szCs w:val="18"/>
                <w:lang w:val="es-MX"/>
              </w:rPr>
            </w:pPr>
            <w:r w:rsidRPr="00296E53">
              <w:rPr>
                <w:rFonts w:ascii="Century Gothic" w:hAnsi="Century Gothic"/>
                <w:color w:val="404040" w:themeColor="text1" w:themeTint="BF"/>
                <w:sz w:val="18"/>
                <w:szCs w:val="18"/>
                <w:lang w:val="es-MX"/>
              </w:rPr>
              <w:t>•</w:t>
            </w:r>
            <w:r w:rsidR="0039699B" w:rsidRPr="00296E53">
              <w:rPr>
                <w:rFonts w:ascii="Century Gothic" w:hAnsi="Century Gothic"/>
                <w:color w:val="404040" w:themeColor="text1" w:themeTint="BF"/>
                <w:sz w:val="18"/>
                <w:szCs w:val="18"/>
                <w:lang w:val="es-MX"/>
              </w:rPr>
              <w:t>100% de los programas del INEGI documentan sus mejoras a través del Sistema de Seguimiento de Cambios (P</w:t>
            </w:r>
            <w:r w:rsidR="00232426" w:rsidRPr="00296E53">
              <w:rPr>
                <w:rFonts w:ascii="Century Gothic" w:hAnsi="Century Gothic"/>
                <w:color w:val="404040" w:themeColor="text1" w:themeTint="BF"/>
                <w:sz w:val="18"/>
                <w:szCs w:val="18"/>
                <w:lang w:val="es-MX"/>
              </w:rPr>
              <w:t>-T</w:t>
            </w:r>
            <w:r w:rsidR="0039699B" w:rsidRPr="00296E53">
              <w:rPr>
                <w:rFonts w:ascii="Century Gothic" w:hAnsi="Century Gothic"/>
                <w:color w:val="404040" w:themeColor="text1" w:themeTint="BF"/>
                <w:sz w:val="18"/>
                <w:szCs w:val="18"/>
                <w:lang w:val="es-MX"/>
              </w:rPr>
              <w:t>racking).</w:t>
            </w:r>
          </w:p>
          <w:p w14:paraId="7DA57EF2" w14:textId="77777777" w:rsidR="00365C0A" w:rsidRPr="00296E53" w:rsidRDefault="0039699B" w:rsidP="0039699B">
            <w:pPr>
              <w:pStyle w:val="Default"/>
              <w:spacing w:after="120"/>
              <w:ind w:left="180" w:hanging="180"/>
              <w:rPr>
                <w:rFonts w:ascii="Century Gothic" w:hAnsi="Century Gothic"/>
                <w:b/>
                <w:bCs/>
                <w:color w:val="404040" w:themeColor="text1" w:themeTint="BF"/>
                <w:sz w:val="18"/>
                <w:szCs w:val="18"/>
                <w:lang w:val="es-MX"/>
              </w:rPr>
            </w:pPr>
            <w:r w:rsidRPr="00296E53">
              <w:rPr>
                <w:rFonts w:ascii="Century Gothic" w:hAnsi="Century Gothic"/>
                <w:color w:val="404040" w:themeColor="text1" w:themeTint="BF"/>
                <w:sz w:val="18"/>
                <w:szCs w:val="18"/>
                <w:lang w:val="es-MX"/>
              </w:rPr>
              <w:t>•</w:t>
            </w:r>
            <w:r w:rsidRPr="00296E53">
              <w:rPr>
                <w:rFonts w:ascii="Century Gothic" w:hAnsi="Century Gothic"/>
                <w:color w:val="404040" w:themeColor="text1" w:themeTint="BF"/>
                <w:sz w:val="18"/>
                <w:szCs w:val="18"/>
                <w:lang w:val="es-MX"/>
              </w:rPr>
              <w:tab/>
              <w:t>Existen cursos de capacitación para el 100% de las iniciativas aprobadas por el Comité de Aseguramiento de la Calidad.</w:t>
            </w:r>
          </w:p>
        </w:tc>
      </w:tr>
    </w:tbl>
    <w:p w14:paraId="23E80881" w14:textId="77777777" w:rsidR="00A06F08" w:rsidRPr="00296E53" w:rsidRDefault="00A06F08" w:rsidP="009F3663">
      <w:pPr>
        <w:spacing w:after="120"/>
        <w:rPr>
          <w:rFonts w:ascii="Century Gothic" w:hAnsi="Century Gothic"/>
        </w:rPr>
      </w:pPr>
    </w:p>
    <w:p w14:paraId="179B1189" w14:textId="77777777" w:rsidR="00042159" w:rsidRPr="00296E53" w:rsidRDefault="00042159" w:rsidP="00042159">
      <w:pPr>
        <w:spacing w:after="120"/>
        <w:rPr>
          <w:rFonts w:ascii="Century Gothic" w:hAnsi="Century Gothic"/>
        </w:rPr>
      </w:pPr>
      <w:r w:rsidRPr="00296E53">
        <w:rPr>
          <w:rFonts w:ascii="Century Gothic" w:hAnsi="Century Gothic"/>
        </w:rPr>
        <w:t>Avances:</w:t>
      </w:r>
    </w:p>
    <w:p w14:paraId="32FC71FD" w14:textId="606928FA" w:rsidR="00EF79BD" w:rsidRPr="00296E53" w:rsidRDefault="00B2435A" w:rsidP="003A30D8">
      <w:pPr>
        <w:numPr>
          <w:ilvl w:val="1"/>
          <w:numId w:val="1"/>
        </w:numPr>
        <w:tabs>
          <w:tab w:val="clear" w:pos="1440"/>
          <w:tab w:val="num" w:pos="284"/>
        </w:tabs>
        <w:spacing w:after="120"/>
        <w:ind w:left="284" w:hanging="284"/>
        <w:jc w:val="both"/>
        <w:rPr>
          <w:rFonts w:ascii="Century Gothic" w:hAnsi="Century Gothic"/>
          <w:sz w:val="19"/>
          <w:szCs w:val="19"/>
        </w:rPr>
      </w:pPr>
      <w:r w:rsidRPr="00296E53">
        <w:rPr>
          <w:rFonts w:ascii="Century Gothic" w:hAnsi="Century Gothic"/>
          <w:sz w:val="19"/>
          <w:szCs w:val="19"/>
        </w:rPr>
        <w:t>En</w:t>
      </w:r>
      <w:r w:rsidR="00EF79BD" w:rsidRPr="00296E53">
        <w:rPr>
          <w:rFonts w:ascii="Century Gothic" w:hAnsi="Century Gothic"/>
          <w:sz w:val="19"/>
          <w:szCs w:val="19"/>
        </w:rPr>
        <w:t xml:space="preserve"> la tercera sesión del Comité se anunció que </w:t>
      </w:r>
      <w:r w:rsidR="00546277" w:rsidRPr="00296E53">
        <w:rPr>
          <w:rFonts w:ascii="Century Gothic" w:hAnsi="Century Gothic"/>
          <w:sz w:val="19"/>
          <w:szCs w:val="19"/>
        </w:rPr>
        <w:t xml:space="preserve">el </w:t>
      </w:r>
      <w:r w:rsidR="00232426" w:rsidRPr="00296E53">
        <w:rPr>
          <w:rFonts w:ascii="Century Gothic" w:hAnsi="Century Gothic"/>
          <w:sz w:val="19"/>
          <w:szCs w:val="19"/>
        </w:rPr>
        <w:t>S</w:t>
      </w:r>
      <w:r w:rsidR="00546277" w:rsidRPr="00296E53">
        <w:rPr>
          <w:rFonts w:ascii="Century Gothic" w:hAnsi="Century Gothic"/>
          <w:sz w:val="19"/>
          <w:szCs w:val="19"/>
        </w:rPr>
        <w:t xml:space="preserve">istema de </w:t>
      </w:r>
      <w:r w:rsidR="00232426" w:rsidRPr="00296E53">
        <w:rPr>
          <w:rFonts w:ascii="Century Gothic" w:hAnsi="Century Gothic"/>
          <w:sz w:val="19"/>
          <w:szCs w:val="19"/>
        </w:rPr>
        <w:t>S</w:t>
      </w:r>
      <w:r w:rsidR="00546277" w:rsidRPr="00296E53">
        <w:rPr>
          <w:rFonts w:ascii="Century Gothic" w:hAnsi="Century Gothic"/>
          <w:sz w:val="19"/>
          <w:szCs w:val="19"/>
        </w:rPr>
        <w:t xml:space="preserve">eguimiento de </w:t>
      </w:r>
      <w:r w:rsidR="00232426" w:rsidRPr="00296E53">
        <w:rPr>
          <w:rFonts w:ascii="Century Gothic" w:hAnsi="Century Gothic"/>
          <w:sz w:val="19"/>
          <w:szCs w:val="19"/>
        </w:rPr>
        <w:t>C</w:t>
      </w:r>
      <w:r w:rsidR="00546277" w:rsidRPr="00296E53">
        <w:rPr>
          <w:rFonts w:ascii="Century Gothic" w:hAnsi="Century Gothic"/>
          <w:sz w:val="19"/>
          <w:szCs w:val="19"/>
        </w:rPr>
        <w:t>ambios</w:t>
      </w:r>
      <w:r w:rsidR="00EF79BD" w:rsidRPr="00296E53">
        <w:rPr>
          <w:rFonts w:ascii="Century Gothic" w:hAnsi="Century Gothic"/>
          <w:sz w:val="19"/>
          <w:szCs w:val="19"/>
        </w:rPr>
        <w:t xml:space="preserve"> ya estaba funcionando y se acordó que las Unidades Administrativas registrarían los cambios realizados en el diseño de los programas a raíz de la pandemia.</w:t>
      </w:r>
    </w:p>
    <w:p w14:paraId="19ADB9C0" w14:textId="3894F0E1" w:rsidR="00FA38C2" w:rsidRPr="00296E53" w:rsidRDefault="00FA38C2" w:rsidP="003A30D8">
      <w:pPr>
        <w:numPr>
          <w:ilvl w:val="1"/>
          <w:numId w:val="1"/>
        </w:numPr>
        <w:tabs>
          <w:tab w:val="clear" w:pos="1440"/>
          <w:tab w:val="num" w:pos="284"/>
        </w:tabs>
        <w:spacing w:after="120"/>
        <w:ind w:left="284" w:hanging="284"/>
        <w:jc w:val="both"/>
        <w:rPr>
          <w:rFonts w:ascii="Century Gothic" w:hAnsi="Century Gothic"/>
          <w:sz w:val="19"/>
          <w:szCs w:val="19"/>
        </w:rPr>
      </w:pPr>
      <w:r w:rsidRPr="00296E53">
        <w:rPr>
          <w:rFonts w:ascii="Century Gothic" w:hAnsi="Century Gothic"/>
          <w:sz w:val="19"/>
          <w:szCs w:val="19"/>
        </w:rPr>
        <w:t xml:space="preserve">La capacitación </w:t>
      </w:r>
      <w:r w:rsidR="00232426" w:rsidRPr="00296E53">
        <w:rPr>
          <w:rFonts w:ascii="Century Gothic" w:hAnsi="Century Gothic"/>
          <w:sz w:val="19"/>
          <w:szCs w:val="19"/>
        </w:rPr>
        <w:t xml:space="preserve">sobre </w:t>
      </w:r>
      <w:r w:rsidRPr="00296E53">
        <w:rPr>
          <w:rFonts w:ascii="Century Gothic" w:hAnsi="Century Gothic"/>
          <w:sz w:val="19"/>
          <w:szCs w:val="19"/>
        </w:rPr>
        <w:t>la Herramienta de Evaluación de la Calidad de los Registros Administrativos fue</w:t>
      </w:r>
      <w:r w:rsidR="009359BB" w:rsidRPr="00296E53">
        <w:rPr>
          <w:rFonts w:ascii="Century Gothic" w:hAnsi="Century Gothic"/>
          <w:sz w:val="19"/>
          <w:szCs w:val="19"/>
        </w:rPr>
        <w:t xml:space="preserve"> incorporada a las páginas de internet del INEGI y del SNIEG para facilitar </w:t>
      </w:r>
      <w:r w:rsidR="00232426" w:rsidRPr="00296E53">
        <w:rPr>
          <w:rFonts w:ascii="Century Gothic" w:hAnsi="Century Gothic"/>
          <w:sz w:val="19"/>
          <w:szCs w:val="19"/>
        </w:rPr>
        <w:t>su</w:t>
      </w:r>
      <w:r w:rsidR="009359BB" w:rsidRPr="00296E53">
        <w:rPr>
          <w:rFonts w:ascii="Century Gothic" w:hAnsi="Century Gothic"/>
          <w:sz w:val="19"/>
          <w:szCs w:val="19"/>
        </w:rPr>
        <w:t xml:space="preserve"> uso.</w:t>
      </w:r>
    </w:p>
    <w:p w14:paraId="38BBAF20" w14:textId="77777777" w:rsidR="00546277" w:rsidRPr="00296E53" w:rsidRDefault="00FA38C2" w:rsidP="009A7B81">
      <w:pPr>
        <w:numPr>
          <w:ilvl w:val="1"/>
          <w:numId w:val="1"/>
        </w:numPr>
        <w:tabs>
          <w:tab w:val="clear" w:pos="1440"/>
          <w:tab w:val="num" w:pos="284"/>
        </w:tabs>
        <w:spacing w:after="120"/>
        <w:ind w:left="284" w:hanging="284"/>
        <w:jc w:val="both"/>
        <w:rPr>
          <w:rFonts w:ascii="Century Gothic" w:hAnsi="Century Gothic"/>
          <w:sz w:val="19"/>
          <w:szCs w:val="19"/>
        </w:rPr>
      </w:pPr>
      <w:r w:rsidRPr="00296E53">
        <w:rPr>
          <w:rFonts w:ascii="Century Gothic" w:hAnsi="Century Gothic"/>
          <w:sz w:val="19"/>
          <w:szCs w:val="19"/>
        </w:rPr>
        <w:t>Se llevaron a cabo los siguientes cursos de capacitación</w:t>
      </w:r>
    </w:p>
    <w:tbl>
      <w:tblPr>
        <w:tblW w:w="0" w:type="auto"/>
        <w:tblInd w:w="284" w:type="dxa"/>
        <w:tblBorders>
          <w:insideV w:val="single" w:sz="48" w:space="0" w:color="FFFFFF" w:themeColor="background1"/>
        </w:tblBorders>
        <w:tblLook w:val="04A0" w:firstRow="1" w:lastRow="0" w:firstColumn="1" w:lastColumn="0" w:noHBand="0" w:noVBand="1"/>
      </w:tblPr>
      <w:tblGrid>
        <w:gridCol w:w="6662"/>
        <w:gridCol w:w="3844"/>
      </w:tblGrid>
      <w:tr w:rsidR="0003150D" w:rsidRPr="00296E53" w14:paraId="0B56B52B" w14:textId="77777777" w:rsidTr="0003150D">
        <w:trPr>
          <w:trHeight w:val="349"/>
        </w:trPr>
        <w:tc>
          <w:tcPr>
            <w:tcW w:w="6662" w:type="dxa"/>
            <w:tcBorders>
              <w:bottom w:val="nil"/>
            </w:tcBorders>
            <w:shd w:val="clear" w:color="auto" w:fill="0070C0"/>
            <w:vAlign w:val="center"/>
          </w:tcPr>
          <w:p w14:paraId="133A3731" w14:textId="77777777" w:rsidR="0003150D" w:rsidRPr="00296E53" w:rsidRDefault="0003150D" w:rsidP="0003150D">
            <w:pPr>
              <w:jc w:val="center"/>
              <w:rPr>
                <w:rFonts w:ascii="Century Gothic" w:hAnsi="Century Gothic"/>
                <w:sz w:val="18"/>
                <w:szCs w:val="18"/>
              </w:rPr>
            </w:pPr>
            <w:r w:rsidRPr="00296E53">
              <w:rPr>
                <w:rFonts w:ascii="Century Gothic" w:hAnsi="Century Gothic" w:cs="Calibri"/>
                <w:b/>
                <w:bCs/>
                <w:color w:val="FFFFFF" w:themeColor="light1"/>
                <w:kern w:val="24"/>
                <w:sz w:val="18"/>
                <w:szCs w:val="18"/>
              </w:rPr>
              <w:t>CURSO</w:t>
            </w:r>
          </w:p>
        </w:tc>
        <w:tc>
          <w:tcPr>
            <w:tcW w:w="3844" w:type="dxa"/>
            <w:tcBorders>
              <w:bottom w:val="nil"/>
            </w:tcBorders>
            <w:shd w:val="clear" w:color="auto" w:fill="0070C0"/>
            <w:vAlign w:val="center"/>
          </w:tcPr>
          <w:p w14:paraId="3B64211A" w14:textId="77777777" w:rsidR="0003150D" w:rsidRPr="00296E53" w:rsidRDefault="0003150D" w:rsidP="0003150D">
            <w:pPr>
              <w:jc w:val="center"/>
              <w:rPr>
                <w:rFonts w:ascii="Century Gothic" w:hAnsi="Century Gothic"/>
                <w:sz w:val="18"/>
                <w:szCs w:val="18"/>
              </w:rPr>
            </w:pPr>
            <w:r w:rsidRPr="00296E53">
              <w:rPr>
                <w:rFonts w:ascii="Century Gothic" w:hAnsi="Century Gothic" w:cs="Calibri"/>
                <w:b/>
                <w:bCs/>
                <w:color w:val="FFFFFF" w:themeColor="light1"/>
                <w:kern w:val="24"/>
                <w:sz w:val="18"/>
                <w:szCs w:val="18"/>
              </w:rPr>
              <w:t xml:space="preserve">NÚMERO DE PERSONAS </w:t>
            </w:r>
            <w:r w:rsidRPr="00296E53">
              <w:rPr>
                <w:rFonts w:ascii="Century Gothic" w:hAnsi="Century Gothic" w:cs="Calibri"/>
                <w:b/>
                <w:bCs/>
                <w:color w:val="FFFFFF" w:themeColor="light1"/>
                <w:kern w:val="24"/>
                <w:sz w:val="18"/>
                <w:szCs w:val="18"/>
              </w:rPr>
              <w:br/>
              <w:t>CAPACITADAS EN 2020</w:t>
            </w:r>
          </w:p>
        </w:tc>
      </w:tr>
      <w:tr w:rsidR="0003150D" w:rsidRPr="00296E53" w14:paraId="34D12DC4" w14:textId="77777777" w:rsidTr="0003150D">
        <w:tc>
          <w:tcPr>
            <w:tcW w:w="6662" w:type="dxa"/>
            <w:tcBorders>
              <w:bottom w:val="single" w:sz="6" w:space="0" w:color="FFFFFF" w:themeColor="background1"/>
            </w:tcBorders>
            <w:shd w:val="clear" w:color="auto" w:fill="C5EAFF"/>
            <w:vAlign w:val="center"/>
          </w:tcPr>
          <w:p w14:paraId="1870FA7B"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Indicadores de precisión para Registros Administrativos</w:t>
            </w:r>
          </w:p>
        </w:tc>
        <w:tc>
          <w:tcPr>
            <w:tcW w:w="3844" w:type="dxa"/>
            <w:tcBorders>
              <w:bottom w:val="single" w:sz="6" w:space="0" w:color="FFFFFF" w:themeColor="background1"/>
            </w:tcBorders>
            <w:shd w:val="clear" w:color="auto" w:fill="C5EAFF"/>
            <w:vAlign w:val="center"/>
          </w:tcPr>
          <w:p w14:paraId="4145FB94"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404 (111 del ámbito central y 293 del ámbito regional y estatal)</w:t>
            </w:r>
          </w:p>
        </w:tc>
      </w:tr>
      <w:tr w:rsidR="0003150D" w:rsidRPr="00296E53" w14:paraId="11806CB4"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57D5793D"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 xml:space="preserve">Aplicación de los indicadores de precisión para Registros Administrativos </w:t>
            </w:r>
          </w:p>
        </w:tc>
        <w:tc>
          <w:tcPr>
            <w:tcW w:w="3844" w:type="dxa"/>
            <w:tcBorders>
              <w:top w:val="single" w:sz="6" w:space="0" w:color="FFFFFF" w:themeColor="background1"/>
              <w:bottom w:val="single" w:sz="6" w:space="0" w:color="FFFFFF" w:themeColor="background1"/>
            </w:tcBorders>
            <w:shd w:val="clear" w:color="auto" w:fill="C5EAFF"/>
            <w:vAlign w:val="center"/>
          </w:tcPr>
          <w:p w14:paraId="33990C7A"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11 en prueba piloto</w:t>
            </w:r>
          </w:p>
        </w:tc>
      </w:tr>
      <w:tr w:rsidR="0003150D" w:rsidRPr="00296E53" w14:paraId="7795BB27"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06D6FAB4"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H</w:t>
            </w:r>
            <w:r w:rsidR="00311A58" w:rsidRPr="00296E53">
              <w:rPr>
                <w:rFonts w:ascii="Century Gothic" w:hAnsi="Century Gothic" w:cs="Calibri"/>
                <w:color w:val="000000" w:themeColor="dark1"/>
                <w:kern w:val="24"/>
                <w:sz w:val="18"/>
                <w:szCs w:val="18"/>
              </w:rPr>
              <w:t xml:space="preserve">erramienta de Evaluación de la Calidad de los Registros Administrativos </w:t>
            </w:r>
            <w:r w:rsidRPr="00296E53">
              <w:rPr>
                <w:rFonts w:ascii="Century Gothic" w:hAnsi="Century Gothic" w:cs="Calibri"/>
                <w:color w:val="000000" w:themeColor="dark1"/>
                <w:kern w:val="24"/>
                <w:sz w:val="18"/>
                <w:szCs w:val="18"/>
              </w:rPr>
              <w:t xml:space="preserve"> </w:t>
            </w:r>
          </w:p>
        </w:tc>
        <w:tc>
          <w:tcPr>
            <w:tcW w:w="3844" w:type="dxa"/>
            <w:tcBorders>
              <w:top w:val="single" w:sz="6" w:space="0" w:color="FFFFFF" w:themeColor="background1"/>
              <w:bottom w:val="single" w:sz="6" w:space="0" w:color="FFFFFF" w:themeColor="background1"/>
            </w:tcBorders>
            <w:shd w:val="clear" w:color="auto" w:fill="C5EAFF"/>
            <w:vAlign w:val="center"/>
          </w:tcPr>
          <w:p w14:paraId="005C7F8C"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142 atendidos y 15 en prueba piloto</w:t>
            </w:r>
          </w:p>
        </w:tc>
      </w:tr>
      <w:tr w:rsidR="0003150D" w:rsidRPr="00296E53" w14:paraId="7B72AD6D"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4639C832"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Nuestra información. Nuestra calidad</w:t>
            </w:r>
          </w:p>
        </w:tc>
        <w:tc>
          <w:tcPr>
            <w:tcW w:w="3844" w:type="dxa"/>
            <w:tcBorders>
              <w:top w:val="single" w:sz="6" w:space="0" w:color="FFFFFF" w:themeColor="background1"/>
              <w:bottom w:val="single" w:sz="6" w:space="0" w:color="FFFFFF" w:themeColor="background1"/>
            </w:tcBorders>
            <w:shd w:val="clear" w:color="auto" w:fill="C5EAFF"/>
            <w:vAlign w:val="center"/>
          </w:tcPr>
          <w:p w14:paraId="31C20626"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2,697</w:t>
            </w:r>
          </w:p>
        </w:tc>
      </w:tr>
      <w:tr w:rsidR="0003150D" w:rsidRPr="00296E53" w14:paraId="05DE92B9"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797435B1"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Introducción a la norma del MPEG</w:t>
            </w:r>
          </w:p>
        </w:tc>
        <w:tc>
          <w:tcPr>
            <w:tcW w:w="3844" w:type="dxa"/>
            <w:tcBorders>
              <w:top w:val="single" w:sz="6" w:space="0" w:color="FFFFFF" w:themeColor="background1"/>
              <w:bottom w:val="single" w:sz="6" w:space="0" w:color="FFFFFF" w:themeColor="background1"/>
            </w:tcBorders>
            <w:shd w:val="clear" w:color="auto" w:fill="C5EAFF"/>
            <w:vAlign w:val="center"/>
          </w:tcPr>
          <w:p w14:paraId="7A3CB451"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2,386</w:t>
            </w:r>
          </w:p>
        </w:tc>
      </w:tr>
      <w:tr w:rsidR="0003150D" w:rsidRPr="00296E53" w14:paraId="799371A4"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46AF6A18"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Rally de la ruta 8</w:t>
            </w:r>
          </w:p>
        </w:tc>
        <w:tc>
          <w:tcPr>
            <w:tcW w:w="3844" w:type="dxa"/>
            <w:tcBorders>
              <w:top w:val="single" w:sz="6" w:space="0" w:color="FFFFFF" w:themeColor="background1"/>
              <w:bottom w:val="single" w:sz="6" w:space="0" w:color="FFFFFF" w:themeColor="background1"/>
            </w:tcBorders>
            <w:shd w:val="clear" w:color="auto" w:fill="C5EAFF"/>
            <w:vAlign w:val="center"/>
          </w:tcPr>
          <w:p w14:paraId="5285FEF9"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1,879</w:t>
            </w:r>
          </w:p>
        </w:tc>
      </w:tr>
      <w:tr w:rsidR="0003150D" w:rsidRPr="00296E53" w14:paraId="3FCB70BC"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287BA2F5" w14:textId="44E9C972" w:rsidR="0003150D" w:rsidRPr="00296E53" w:rsidRDefault="0003150D" w:rsidP="00232426">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P</w:t>
            </w:r>
            <w:r w:rsidR="00232426" w:rsidRPr="00296E53">
              <w:rPr>
                <w:rFonts w:ascii="Century Gothic" w:hAnsi="Century Gothic" w:cs="Calibri"/>
                <w:color w:val="000000" w:themeColor="dark1"/>
                <w:kern w:val="24"/>
                <w:sz w:val="18"/>
                <w:szCs w:val="18"/>
              </w:rPr>
              <w:t>-T</w:t>
            </w:r>
            <w:r w:rsidRPr="00296E53">
              <w:rPr>
                <w:rFonts w:ascii="Century Gothic" w:hAnsi="Century Gothic" w:cs="Calibri"/>
                <w:color w:val="000000" w:themeColor="dark1"/>
                <w:kern w:val="24"/>
                <w:sz w:val="18"/>
                <w:szCs w:val="18"/>
              </w:rPr>
              <w:t>racking</w:t>
            </w:r>
          </w:p>
        </w:tc>
        <w:tc>
          <w:tcPr>
            <w:tcW w:w="3844" w:type="dxa"/>
            <w:tcBorders>
              <w:top w:val="single" w:sz="6" w:space="0" w:color="FFFFFF" w:themeColor="background1"/>
              <w:bottom w:val="single" w:sz="6" w:space="0" w:color="FFFFFF" w:themeColor="background1"/>
            </w:tcBorders>
            <w:shd w:val="clear" w:color="auto" w:fill="C5EAFF"/>
            <w:vAlign w:val="center"/>
          </w:tcPr>
          <w:p w14:paraId="2A274694"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197</w:t>
            </w:r>
          </w:p>
        </w:tc>
      </w:tr>
      <w:tr w:rsidR="0003150D" w:rsidRPr="00296E53" w14:paraId="65684272" w14:textId="77777777" w:rsidTr="0003150D">
        <w:tc>
          <w:tcPr>
            <w:tcW w:w="6662" w:type="dxa"/>
            <w:tcBorders>
              <w:top w:val="single" w:sz="6" w:space="0" w:color="FFFFFF" w:themeColor="background1"/>
            </w:tcBorders>
            <w:shd w:val="clear" w:color="auto" w:fill="C5EAFF"/>
            <w:vAlign w:val="center"/>
          </w:tcPr>
          <w:p w14:paraId="7AB0B562" w14:textId="77777777" w:rsidR="0003150D" w:rsidRPr="00296E53" w:rsidRDefault="0003150D" w:rsidP="0003150D">
            <w:pPr>
              <w:spacing w:before="40" w:after="40"/>
              <w:jc w:val="center"/>
              <w:rPr>
                <w:rFonts w:ascii="Century Gothic" w:hAnsi="Century Gothic" w:cs="Calibri"/>
                <w:color w:val="000000" w:themeColor="dark1"/>
                <w:kern w:val="24"/>
                <w:sz w:val="18"/>
                <w:szCs w:val="18"/>
              </w:rPr>
            </w:pPr>
            <w:r w:rsidRPr="00296E53">
              <w:rPr>
                <w:rFonts w:ascii="Century Gothic" w:hAnsi="Century Gothic" w:cs="Calibri"/>
                <w:color w:val="000000" w:themeColor="dark1"/>
                <w:kern w:val="24"/>
                <w:sz w:val="18"/>
                <w:szCs w:val="18"/>
              </w:rPr>
              <w:t>Taller de verificación MPEG</w:t>
            </w:r>
          </w:p>
        </w:tc>
        <w:tc>
          <w:tcPr>
            <w:tcW w:w="3844" w:type="dxa"/>
            <w:tcBorders>
              <w:top w:val="single" w:sz="6" w:space="0" w:color="FFFFFF" w:themeColor="background1"/>
            </w:tcBorders>
            <w:shd w:val="clear" w:color="auto" w:fill="C5EAFF"/>
            <w:vAlign w:val="center"/>
          </w:tcPr>
          <w:p w14:paraId="682B6FAE" w14:textId="77777777" w:rsidR="0003150D" w:rsidRPr="00296E53" w:rsidRDefault="0003150D" w:rsidP="0003150D">
            <w:pPr>
              <w:spacing w:before="40" w:after="40"/>
              <w:jc w:val="center"/>
              <w:rPr>
                <w:rFonts w:ascii="Century Gothic" w:hAnsi="Century Gothic" w:cs="Calibri"/>
                <w:color w:val="000000" w:themeColor="dark1"/>
                <w:kern w:val="24"/>
                <w:sz w:val="18"/>
                <w:szCs w:val="18"/>
              </w:rPr>
            </w:pPr>
            <w:r w:rsidRPr="00296E53">
              <w:rPr>
                <w:rFonts w:ascii="Century Gothic" w:hAnsi="Century Gothic" w:cs="Calibri"/>
                <w:color w:val="000000" w:themeColor="dark1"/>
                <w:kern w:val="24"/>
                <w:sz w:val="18"/>
                <w:szCs w:val="18"/>
              </w:rPr>
              <w:t>213</w:t>
            </w:r>
          </w:p>
        </w:tc>
      </w:tr>
    </w:tbl>
    <w:p w14:paraId="6BCA0041" w14:textId="77777777" w:rsidR="00102ACA" w:rsidRPr="00296E53" w:rsidRDefault="00102ACA" w:rsidP="0003150D">
      <w:pPr>
        <w:spacing w:after="120"/>
        <w:ind w:left="284"/>
        <w:jc w:val="both"/>
        <w:rPr>
          <w:rFonts w:ascii="Century Gothic" w:hAnsi="Century Gothic"/>
          <w:sz w:val="19"/>
          <w:szCs w:val="19"/>
        </w:rPr>
      </w:pPr>
    </w:p>
    <w:p w14:paraId="3F78AC95" w14:textId="77777777" w:rsidR="00A6617B" w:rsidRPr="00296E53" w:rsidRDefault="00ED08C3" w:rsidP="00ED08C3">
      <w:pPr>
        <w:spacing w:after="120"/>
        <w:jc w:val="both"/>
        <w:rPr>
          <w:rFonts w:ascii="Century Gothic" w:hAnsi="Century Gothic"/>
        </w:rPr>
      </w:pPr>
      <w:r w:rsidRPr="00296E53">
        <w:rPr>
          <w:rFonts w:ascii="Century Gothic" w:hAnsi="Century Gothic"/>
        </w:rPr>
        <w:t>Retos:</w:t>
      </w:r>
    </w:p>
    <w:p w14:paraId="1381AA6C" w14:textId="77777777" w:rsidR="00515AA1" w:rsidRPr="00296E53" w:rsidRDefault="000B0618" w:rsidP="000B0618">
      <w:pPr>
        <w:numPr>
          <w:ilvl w:val="1"/>
          <w:numId w:val="1"/>
        </w:numPr>
        <w:tabs>
          <w:tab w:val="clear" w:pos="1440"/>
          <w:tab w:val="num" w:pos="284"/>
        </w:tabs>
        <w:spacing w:after="120"/>
        <w:ind w:left="284" w:right="5980" w:hanging="284"/>
        <w:jc w:val="both"/>
        <w:rPr>
          <w:rFonts w:ascii="Century Gothic" w:hAnsi="Century Gothic"/>
        </w:rPr>
      </w:pPr>
      <w:r w:rsidRPr="00296E53">
        <w:rPr>
          <w:noProof/>
          <w:lang w:eastAsia="es-MX"/>
        </w:rPr>
        <w:drawing>
          <wp:anchor distT="0" distB="0" distL="114300" distR="114300" simplePos="0" relativeHeight="251742208" behindDoc="0" locked="0" layoutInCell="1" allowOverlap="1" wp14:anchorId="60BBED22" wp14:editId="24851BAD">
            <wp:simplePos x="0" y="0"/>
            <wp:positionH relativeFrom="column">
              <wp:posOffset>3615299</wp:posOffset>
            </wp:positionH>
            <wp:positionV relativeFrom="paragraph">
              <wp:posOffset>6253</wp:posOffset>
            </wp:positionV>
            <wp:extent cx="3168015" cy="1915795"/>
            <wp:effectExtent l="0" t="0" r="0" b="825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70" t="36485" r="54974" b="17640"/>
                    <a:stretch/>
                  </pic:blipFill>
                  <pic:spPr bwMode="auto">
                    <a:xfrm>
                      <a:off x="0" y="0"/>
                      <a:ext cx="3168015" cy="1915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2EDE" w:rsidRPr="00296E53">
        <w:rPr>
          <w:rFonts w:ascii="Century Gothic" w:hAnsi="Century Gothic"/>
          <w:sz w:val="19"/>
          <w:szCs w:val="19"/>
        </w:rPr>
        <w:t xml:space="preserve">Continuar desarrollando cursos </w:t>
      </w:r>
      <w:r w:rsidR="00546277" w:rsidRPr="00296E53">
        <w:rPr>
          <w:rFonts w:ascii="Century Gothic" w:hAnsi="Century Gothic"/>
          <w:sz w:val="19"/>
          <w:szCs w:val="19"/>
        </w:rPr>
        <w:t xml:space="preserve">de </w:t>
      </w:r>
      <w:r w:rsidR="00515AA1" w:rsidRPr="00296E53">
        <w:rPr>
          <w:rFonts w:ascii="Century Gothic" w:hAnsi="Century Gothic"/>
          <w:sz w:val="19"/>
          <w:szCs w:val="19"/>
        </w:rPr>
        <w:t>capacitación para todas las iniciativas aprobadas por el Comité de Aseguramiento de la Calidad.</w:t>
      </w:r>
    </w:p>
    <w:p w14:paraId="70739FFD" w14:textId="77777777" w:rsidR="00042159" w:rsidRPr="00296E53" w:rsidRDefault="00405425" w:rsidP="000B0618">
      <w:pPr>
        <w:numPr>
          <w:ilvl w:val="1"/>
          <w:numId w:val="1"/>
        </w:numPr>
        <w:tabs>
          <w:tab w:val="clear" w:pos="1440"/>
          <w:tab w:val="num" w:pos="284"/>
        </w:tabs>
        <w:spacing w:after="120"/>
        <w:ind w:left="284" w:right="5980" w:hanging="284"/>
        <w:jc w:val="both"/>
        <w:rPr>
          <w:rFonts w:ascii="Century Gothic" w:hAnsi="Century Gothic"/>
        </w:rPr>
      </w:pPr>
      <w:proofErr w:type="gramStart"/>
      <w:r w:rsidRPr="00296E53">
        <w:rPr>
          <w:rFonts w:ascii="Century Gothic" w:hAnsi="Century Gothic"/>
          <w:sz w:val="19"/>
          <w:szCs w:val="19"/>
        </w:rPr>
        <w:t>Asegurar</w:t>
      </w:r>
      <w:proofErr w:type="gramEnd"/>
      <w:r w:rsidRPr="00296E53">
        <w:rPr>
          <w:rFonts w:ascii="Century Gothic" w:hAnsi="Century Gothic"/>
          <w:sz w:val="19"/>
          <w:szCs w:val="19"/>
        </w:rPr>
        <w:t xml:space="preserve"> que los cambios realizados al diseño de los programas se registren en el sistema de seguimiento de cambios.</w:t>
      </w:r>
    </w:p>
    <w:p w14:paraId="1ECD93F0" w14:textId="77777777" w:rsidR="00767423" w:rsidRPr="00296E53" w:rsidRDefault="00767423" w:rsidP="000B0618">
      <w:pPr>
        <w:spacing w:after="120"/>
        <w:ind w:right="27"/>
        <w:jc w:val="both"/>
        <w:rPr>
          <w:rFonts w:ascii="Century Gothic" w:hAnsi="Century Gothic"/>
        </w:rPr>
      </w:pPr>
    </w:p>
    <w:p w14:paraId="4FB12EBC" w14:textId="77777777" w:rsidR="00042159" w:rsidRPr="00296E53" w:rsidRDefault="00042159" w:rsidP="00042159">
      <w:pPr>
        <w:spacing w:after="120"/>
        <w:rPr>
          <w:rFonts w:ascii="Century Gothic" w:hAnsi="Century Gothic"/>
        </w:rPr>
      </w:pPr>
      <w:r w:rsidRPr="00296E53">
        <w:rPr>
          <w:rFonts w:ascii="Century Gothic" w:hAnsi="Century Gothic"/>
        </w:rPr>
        <w:br w:type="page"/>
      </w:r>
    </w:p>
    <w:p w14:paraId="5B5AC640" w14:textId="77777777" w:rsidR="00C85F67" w:rsidRPr="00296E53" w:rsidRDefault="00C85F67" w:rsidP="00C85F67">
      <w:pPr>
        <w:spacing w:after="120"/>
        <w:rPr>
          <w:rFonts w:ascii="Century Gothic" w:hAnsi="Century Gothic"/>
        </w:rPr>
      </w:pPr>
    </w:p>
    <w:tbl>
      <w:tblPr>
        <w:tblW w:w="12763" w:type="dxa"/>
        <w:tblInd w:w="-1139" w:type="dxa"/>
        <w:tblLook w:val="04A0" w:firstRow="1" w:lastRow="0" w:firstColumn="1" w:lastColumn="0" w:noHBand="0" w:noVBand="1"/>
      </w:tblPr>
      <w:tblGrid>
        <w:gridCol w:w="4820"/>
        <w:gridCol w:w="7943"/>
      </w:tblGrid>
      <w:tr w:rsidR="009801ED" w:rsidRPr="00296E53" w14:paraId="74058BA8" w14:textId="77777777" w:rsidTr="00546277">
        <w:trPr>
          <w:trHeight w:val="201"/>
        </w:trPr>
        <w:tc>
          <w:tcPr>
            <w:tcW w:w="4820" w:type="dxa"/>
            <w:shd w:val="clear" w:color="auto" w:fill="1F3864" w:themeFill="accent5" w:themeFillShade="80"/>
          </w:tcPr>
          <w:p w14:paraId="44746AEE" w14:textId="77777777" w:rsidR="009801ED" w:rsidRPr="00296E53" w:rsidRDefault="009801ED" w:rsidP="00546277">
            <w:pPr>
              <w:rPr>
                <w:rFonts w:cstheme="minorHAnsi"/>
                <w:color w:val="FFFFFF" w:themeColor="background1"/>
                <w:sz w:val="2"/>
                <w:szCs w:val="18"/>
              </w:rPr>
            </w:pPr>
          </w:p>
        </w:tc>
        <w:tc>
          <w:tcPr>
            <w:tcW w:w="7943" w:type="dxa"/>
            <w:shd w:val="clear" w:color="auto" w:fill="auto"/>
          </w:tcPr>
          <w:p w14:paraId="4136F298" w14:textId="77777777" w:rsidR="009801ED" w:rsidRPr="00296E53" w:rsidRDefault="009801ED" w:rsidP="00546277">
            <w:pPr>
              <w:rPr>
                <w:rFonts w:cstheme="minorHAnsi"/>
                <w:color w:val="FFFFFF" w:themeColor="background1"/>
                <w:sz w:val="2"/>
                <w:szCs w:val="18"/>
              </w:rPr>
            </w:pPr>
          </w:p>
        </w:tc>
      </w:tr>
      <w:tr w:rsidR="009801ED" w:rsidRPr="00296E53" w14:paraId="5AB1EC41" w14:textId="77777777" w:rsidTr="00546277">
        <w:trPr>
          <w:trHeight w:val="201"/>
        </w:trPr>
        <w:tc>
          <w:tcPr>
            <w:tcW w:w="4820" w:type="dxa"/>
            <w:shd w:val="clear" w:color="auto" w:fill="0079BF"/>
          </w:tcPr>
          <w:p w14:paraId="13CB8F17" w14:textId="77777777" w:rsidR="009801ED" w:rsidRPr="00296E53" w:rsidRDefault="009801ED" w:rsidP="00546277">
            <w:pPr>
              <w:rPr>
                <w:rFonts w:cstheme="minorHAnsi"/>
                <w:color w:val="FFFFFF" w:themeColor="background1"/>
                <w:sz w:val="2"/>
                <w:szCs w:val="18"/>
              </w:rPr>
            </w:pPr>
          </w:p>
        </w:tc>
        <w:tc>
          <w:tcPr>
            <w:tcW w:w="7943" w:type="dxa"/>
            <w:shd w:val="clear" w:color="auto" w:fill="0079BF"/>
          </w:tcPr>
          <w:p w14:paraId="033D1DEE" w14:textId="77777777" w:rsidR="009801ED" w:rsidRPr="00296E53" w:rsidRDefault="009801ED" w:rsidP="00546277">
            <w:pPr>
              <w:rPr>
                <w:rFonts w:cstheme="minorHAnsi"/>
                <w:color w:val="FFFFFF" w:themeColor="background1"/>
                <w:sz w:val="2"/>
                <w:szCs w:val="18"/>
              </w:rPr>
            </w:pPr>
          </w:p>
        </w:tc>
      </w:tr>
    </w:tbl>
    <w:p w14:paraId="76C16DAD" w14:textId="77777777" w:rsidR="009801ED" w:rsidRPr="00296E53" w:rsidRDefault="009801ED" w:rsidP="009801ED">
      <w:pPr>
        <w:spacing w:after="120"/>
        <w:rPr>
          <w:rFonts w:ascii="Century Gothic" w:hAnsi="Century Gothic"/>
        </w:rPr>
      </w:pPr>
    </w:p>
    <w:p w14:paraId="7599848C" w14:textId="77777777" w:rsidR="00C85F67" w:rsidRPr="00296E53" w:rsidRDefault="00C85F67" w:rsidP="00C85F67">
      <w:pPr>
        <w:spacing w:after="120"/>
        <w:rPr>
          <w:rFonts w:ascii="Century Gothic" w:hAnsi="Century Gothic"/>
        </w:rPr>
      </w:pPr>
    </w:p>
    <w:p w14:paraId="1D7EF50F" w14:textId="77777777" w:rsidR="00C85F67" w:rsidRPr="00296E53" w:rsidRDefault="00C85F67" w:rsidP="00C85F67">
      <w:pPr>
        <w:spacing w:after="120"/>
        <w:rPr>
          <w:rFonts w:ascii="Century Gothic" w:hAnsi="Century Gothic"/>
        </w:rPr>
      </w:pPr>
    </w:p>
    <w:p w14:paraId="2A8C0037" w14:textId="77777777" w:rsidR="00C85F67" w:rsidRPr="00296E53"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14:paraId="57F1078F" w14:textId="77777777" w:rsidR="00C85F67" w:rsidRPr="00296E53"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14:paraId="54BBE106" w14:textId="77777777" w:rsidR="00C85F67" w:rsidRPr="00296E53"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14:paraId="46B4887C" w14:textId="77777777" w:rsidR="00C85F67" w:rsidRPr="00296E53"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14:paraId="16E4C6B4" w14:textId="77777777" w:rsidR="001A37C4" w:rsidRPr="00296E53" w:rsidRDefault="00C85F67" w:rsidP="00252A6C">
      <w:pPr>
        <w:pStyle w:val="Default"/>
        <w:spacing w:after="120"/>
        <w:jc w:val="center"/>
        <w:outlineLvl w:val="0"/>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bookmarkStart w:id="9" w:name="_Toc65502227"/>
      <w:r w:rsidRPr="00296E53">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t>ANEXOS</w:t>
      </w:r>
      <w:bookmarkEnd w:id="9"/>
    </w:p>
    <w:p w14:paraId="61A7B012" w14:textId="77777777" w:rsidR="00C85F67" w:rsidRPr="00296E53" w:rsidRDefault="00C85F67" w:rsidP="00C85F67">
      <w:pPr>
        <w:spacing w:after="120"/>
        <w:rPr>
          <w:rFonts w:ascii="Century Gothic" w:hAnsi="Century Gothic"/>
        </w:rPr>
      </w:pPr>
    </w:p>
    <w:p w14:paraId="791A83B8" w14:textId="77777777" w:rsidR="00C85F67" w:rsidRPr="00296E53" w:rsidRDefault="00C85F67" w:rsidP="00C85F67">
      <w:pPr>
        <w:spacing w:after="120"/>
        <w:rPr>
          <w:rFonts w:ascii="Century Gothic" w:hAnsi="Century Gothic"/>
        </w:rPr>
      </w:pPr>
    </w:p>
    <w:p w14:paraId="093C1A3D" w14:textId="77777777" w:rsidR="00C85F67" w:rsidRPr="00296E53" w:rsidRDefault="00C85F67" w:rsidP="00C85F67">
      <w:pPr>
        <w:spacing w:after="120"/>
        <w:rPr>
          <w:rFonts w:ascii="Century Gothic" w:hAnsi="Century Gothic"/>
        </w:rPr>
      </w:pPr>
    </w:p>
    <w:p w14:paraId="61C75B51" w14:textId="77777777" w:rsidR="00C85F67" w:rsidRPr="00296E53" w:rsidRDefault="00C85F67" w:rsidP="00C85F67">
      <w:pPr>
        <w:spacing w:after="120"/>
        <w:rPr>
          <w:rFonts w:ascii="Century Gothic" w:hAnsi="Century Gothic"/>
        </w:rPr>
      </w:pPr>
    </w:p>
    <w:p w14:paraId="3807255E" w14:textId="77777777" w:rsidR="009801ED" w:rsidRPr="00296E53" w:rsidRDefault="009801ED" w:rsidP="009801ED">
      <w:pPr>
        <w:spacing w:after="120"/>
        <w:rPr>
          <w:rFonts w:ascii="Century Gothic" w:hAnsi="Century Gothic"/>
        </w:rPr>
      </w:pPr>
    </w:p>
    <w:p w14:paraId="0531530E" w14:textId="77777777" w:rsidR="00F01F0E" w:rsidRPr="00296E53" w:rsidRDefault="00F01F0E" w:rsidP="009801ED">
      <w:pPr>
        <w:spacing w:after="120"/>
        <w:rPr>
          <w:rFonts w:ascii="Century Gothic" w:hAnsi="Century Gothic"/>
        </w:rPr>
      </w:pPr>
    </w:p>
    <w:p w14:paraId="504BF3A3" w14:textId="77777777" w:rsidR="00F01F0E" w:rsidRPr="00296E53" w:rsidRDefault="00F01F0E" w:rsidP="009801ED">
      <w:pPr>
        <w:spacing w:after="120"/>
        <w:rPr>
          <w:rFonts w:ascii="Century Gothic" w:hAnsi="Century Gothic"/>
        </w:rPr>
      </w:pPr>
    </w:p>
    <w:p w14:paraId="0CCE8CDC" w14:textId="77777777" w:rsidR="00F01F0E" w:rsidRPr="00296E53" w:rsidRDefault="00F01F0E" w:rsidP="009801ED">
      <w:pPr>
        <w:spacing w:after="120"/>
        <w:rPr>
          <w:rFonts w:ascii="Century Gothic" w:hAnsi="Century Gothic"/>
        </w:rPr>
      </w:pPr>
    </w:p>
    <w:p w14:paraId="6AFE82D3" w14:textId="77777777" w:rsidR="00F01F0E" w:rsidRPr="00296E53" w:rsidRDefault="00F01F0E" w:rsidP="009801ED">
      <w:pPr>
        <w:spacing w:after="120"/>
        <w:rPr>
          <w:rFonts w:ascii="Century Gothic" w:hAnsi="Century Gothic"/>
        </w:rPr>
      </w:pPr>
    </w:p>
    <w:p w14:paraId="40EDCD9E" w14:textId="77777777" w:rsidR="00F01F0E" w:rsidRPr="00296E53" w:rsidRDefault="00F01F0E" w:rsidP="009801ED">
      <w:pPr>
        <w:spacing w:after="120"/>
        <w:rPr>
          <w:rFonts w:ascii="Century Gothic" w:hAnsi="Century Gothic"/>
        </w:rPr>
      </w:pPr>
    </w:p>
    <w:p w14:paraId="7DF5EEB3" w14:textId="77777777" w:rsidR="00F01F0E" w:rsidRPr="00296E53" w:rsidRDefault="00F01F0E" w:rsidP="009801ED">
      <w:pPr>
        <w:spacing w:after="120"/>
        <w:rPr>
          <w:rFonts w:ascii="Century Gothic" w:hAnsi="Century Gothic"/>
        </w:rPr>
      </w:pPr>
    </w:p>
    <w:p w14:paraId="5ED35418" w14:textId="77777777" w:rsidR="00F01F0E" w:rsidRPr="00296E53" w:rsidRDefault="00F01F0E" w:rsidP="009801ED">
      <w:pPr>
        <w:spacing w:after="120"/>
        <w:rPr>
          <w:rFonts w:ascii="Century Gothic" w:hAnsi="Century Gothic"/>
        </w:rPr>
      </w:pPr>
    </w:p>
    <w:tbl>
      <w:tblPr>
        <w:tblW w:w="12763" w:type="dxa"/>
        <w:tblInd w:w="-1139" w:type="dxa"/>
        <w:tblLook w:val="04A0" w:firstRow="1" w:lastRow="0" w:firstColumn="1" w:lastColumn="0" w:noHBand="0" w:noVBand="1"/>
      </w:tblPr>
      <w:tblGrid>
        <w:gridCol w:w="8085"/>
        <w:gridCol w:w="4678"/>
      </w:tblGrid>
      <w:tr w:rsidR="009801ED" w:rsidRPr="00296E53" w14:paraId="3F5E2F4E" w14:textId="77777777" w:rsidTr="00546277">
        <w:trPr>
          <w:trHeight w:val="201"/>
        </w:trPr>
        <w:tc>
          <w:tcPr>
            <w:tcW w:w="8085" w:type="dxa"/>
            <w:shd w:val="clear" w:color="auto" w:fill="auto"/>
          </w:tcPr>
          <w:p w14:paraId="6C4DFB5A" w14:textId="77777777" w:rsidR="009801ED" w:rsidRPr="00296E53" w:rsidRDefault="009801ED" w:rsidP="00546277">
            <w:pPr>
              <w:rPr>
                <w:rFonts w:cstheme="minorHAnsi"/>
                <w:color w:val="FFFFFF" w:themeColor="background1"/>
                <w:sz w:val="2"/>
                <w:szCs w:val="12"/>
              </w:rPr>
            </w:pPr>
          </w:p>
        </w:tc>
        <w:tc>
          <w:tcPr>
            <w:tcW w:w="4678" w:type="dxa"/>
            <w:shd w:val="clear" w:color="auto" w:fill="0079BF"/>
          </w:tcPr>
          <w:p w14:paraId="06B09559" w14:textId="77777777" w:rsidR="009801ED" w:rsidRPr="00296E53" w:rsidRDefault="009801ED" w:rsidP="00546277">
            <w:pPr>
              <w:rPr>
                <w:rFonts w:cstheme="minorHAnsi"/>
                <w:color w:val="FFFFFF" w:themeColor="background1"/>
                <w:sz w:val="2"/>
                <w:szCs w:val="12"/>
              </w:rPr>
            </w:pPr>
          </w:p>
        </w:tc>
      </w:tr>
      <w:tr w:rsidR="009801ED" w:rsidRPr="00296E53" w14:paraId="66F595CF" w14:textId="77777777" w:rsidTr="00546277">
        <w:trPr>
          <w:trHeight w:val="201"/>
        </w:trPr>
        <w:tc>
          <w:tcPr>
            <w:tcW w:w="8085" w:type="dxa"/>
            <w:shd w:val="clear" w:color="auto" w:fill="1F3864" w:themeFill="accent5" w:themeFillShade="80"/>
          </w:tcPr>
          <w:p w14:paraId="1B49911D" w14:textId="77777777" w:rsidR="009801ED" w:rsidRPr="00296E53" w:rsidRDefault="009801ED" w:rsidP="00546277">
            <w:pPr>
              <w:rPr>
                <w:rFonts w:cstheme="minorHAnsi"/>
                <w:color w:val="FFFFFF" w:themeColor="background1"/>
                <w:sz w:val="2"/>
                <w:szCs w:val="12"/>
              </w:rPr>
            </w:pPr>
          </w:p>
        </w:tc>
        <w:tc>
          <w:tcPr>
            <w:tcW w:w="4678" w:type="dxa"/>
            <w:shd w:val="clear" w:color="auto" w:fill="1F3864" w:themeFill="accent5" w:themeFillShade="80"/>
          </w:tcPr>
          <w:p w14:paraId="7050CDD7" w14:textId="77777777" w:rsidR="009801ED" w:rsidRPr="00296E53" w:rsidRDefault="009801ED" w:rsidP="00546277">
            <w:pPr>
              <w:rPr>
                <w:rFonts w:cstheme="minorHAnsi"/>
                <w:color w:val="FFFFFF" w:themeColor="background1"/>
                <w:sz w:val="2"/>
                <w:szCs w:val="12"/>
              </w:rPr>
            </w:pPr>
          </w:p>
        </w:tc>
      </w:tr>
      <w:tr w:rsidR="009801ED" w:rsidRPr="00296E53" w14:paraId="69356FE0" w14:textId="77777777" w:rsidTr="00546277">
        <w:trPr>
          <w:trHeight w:val="201"/>
        </w:trPr>
        <w:tc>
          <w:tcPr>
            <w:tcW w:w="8085" w:type="dxa"/>
            <w:shd w:val="clear" w:color="auto" w:fill="auto"/>
          </w:tcPr>
          <w:p w14:paraId="768104D5" w14:textId="77777777" w:rsidR="009801ED" w:rsidRPr="00296E53" w:rsidRDefault="009801ED" w:rsidP="00546277">
            <w:pPr>
              <w:rPr>
                <w:rFonts w:cstheme="minorHAnsi"/>
                <w:color w:val="FFFFFF" w:themeColor="background1"/>
                <w:sz w:val="2"/>
                <w:szCs w:val="12"/>
              </w:rPr>
            </w:pPr>
          </w:p>
        </w:tc>
        <w:tc>
          <w:tcPr>
            <w:tcW w:w="4678" w:type="dxa"/>
            <w:shd w:val="clear" w:color="auto" w:fill="auto"/>
          </w:tcPr>
          <w:p w14:paraId="4EA34907" w14:textId="77777777" w:rsidR="009801ED" w:rsidRPr="00296E53" w:rsidRDefault="009801ED" w:rsidP="00546277">
            <w:pPr>
              <w:rPr>
                <w:rFonts w:cstheme="minorHAnsi"/>
                <w:color w:val="FFFFFF" w:themeColor="background1"/>
                <w:sz w:val="2"/>
                <w:szCs w:val="12"/>
              </w:rPr>
            </w:pPr>
          </w:p>
        </w:tc>
      </w:tr>
    </w:tbl>
    <w:p w14:paraId="4211D884" w14:textId="77777777" w:rsidR="009801ED" w:rsidRPr="00296E53" w:rsidRDefault="009801ED" w:rsidP="009801ED">
      <w:pPr>
        <w:spacing w:after="120"/>
        <w:rPr>
          <w:rFonts w:ascii="Century Gothic" w:hAnsi="Century Gothic"/>
        </w:rPr>
      </w:pPr>
    </w:p>
    <w:p w14:paraId="41AC0842" w14:textId="77777777" w:rsidR="00C85F67" w:rsidRPr="00296E53" w:rsidRDefault="00C85F67" w:rsidP="00C85F67">
      <w:pPr>
        <w:spacing w:after="120"/>
        <w:rPr>
          <w:rFonts w:ascii="Century Gothic" w:hAnsi="Century Gothic"/>
        </w:rPr>
      </w:pPr>
    </w:p>
    <w:p w14:paraId="7FC5B0AD" w14:textId="77777777" w:rsidR="00E455D0" w:rsidRPr="00296E53" w:rsidRDefault="00E455D0" w:rsidP="00C85F67">
      <w:pPr>
        <w:spacing w:after="120"/>
        <w:rPr>
          <w:rFonts w:ascii="Century Gothic" w:hAnsi="Century Gothic"/>
        </w:rPr>
        <w:sectPr w:rsidR="00E455D0" w:rsidRPr="00296E53" w:rsidSect="00B3382F">
          <w:footerReference w:type="default" r:id="rId15"/>
          <w:pgSz w:w="12240" w:h="15840"/>
          <w:pgMar w:top="720" w:right="720" w:bottom="720" w:left="720" w:header="709" w:footer="709" w:gutter="0"/>
          <w:cols w:space="708"/>
          <w:docGrid w:linePitch="360"/>
        </w:sectPr>
      </w:pPr>
    </w:p>
    <w:p w14:paraId="5E17E1D8" w14:textId="77777777" w:rsidR="00E455D0" w:rsidRPr="00296E53" w:rsidRDefault="00E455D0" w:rsidP="00E455D0">
      <w:pPr>
        <w:spacing w:after="0"/>
        <w:jc w:val="right"/>
        <w:rPr>
          <w:rFonts w:ascii="Century Gothic" w:hAnsi="Century Gothic"/>
        </w:rPr>
      </w:pPr>
      <w:r w:rsidRPr="00296E53">
        <w:rPr>
          <w:rFonts w:cstheme="minorHAnsi"/>
          <w:color w:val="0079BF"/>
          <w:sz w:val="36"/>
          <w:szCs w:val="144"/>
        </w:rPr>
        <w:t>ANEXO 1</w:t>
      </w:r>
    </w:p>
    <w:tbl>
      <w:tblPr>
        <w:tblW w:w="16307" w:type="dxa"/>
        <w:tblInd w:w="-1139" w:type="dxa"/>
        <w:tblLook w:val="04A0" w:firstRow="1" w:lastRow="0" w:firstColumn="1" w:lastColumn="0" w:noHBand="0" w:noVBand="1"/>
      </w:tblPr>
      <w:tblGrid>
        <w:gridCol w:w="7518"/>
        <w:gridCol w:w="8789"/>
      </w:tblGrid>
      <w:tr w:rsidR="00E455D0" w:rsidRPr="00296E53" w14:paraId="60682BB8" w14:textId="77777777" w:rsidTr="00E455D0">
        <w:trPr>
          <w:trHeight w:val="201"/>
        </w:trPr>
        <w:tc>
          <w:tcPr>
            <w:tcW w:w="7518" w:type="dxa"/>
            <w:shd w:val="clear" w:color="auto" w:fill="1F3864" w:themeFill="accent5" w:themeFillShade="80"/>
          </w:tcPr>
          <w:p w14:paraId="55400531" w14:textId="77777777" w:rsidR="00E455D0" w:rsidRPr="00296E53" w:rsidRDefault="00E455D0" w:rsidP="00365D05">
            <w:pPr>
              <w:rPr>
                <w:rFonts w:cstheme="minorHAnsi"/>
                <w:color w:val="FFFFFF" w:themeColor="background1"/>
                <w:sz w:val="2"/>
                <w:szCs w:val="18"/>
              </w:rPr>
            </w:pPr>
          </w:p>
        </w:tc>
        <w:tc>
          <w:tcPr>
            <w:tcW w:w="8789" w:type="dxa"/>
            <w:shd w:val="clear" w:color="auto" w:fill="auto"/>
          </w:tcPr>
          <w:p w14:paraId="14140DF5" w14:textId="77777777" w:rsidR="00E455D0" w:rsidRPr="00296E53" w:rsidRDefault="00E455D0" w:rsidP="00365D05">
            <w:pPr>
              <w:rPr>
                <w:rFonts w:cstheme="minorHAnsi"/>
                <w:color w:val="FFFFFF" w:themeColor="background1"/>
                <w:sz w:val="2"/>
                <w:szCs w:val="18"/>
              </w:rPr>
            </w:pPr>
          </w:p>
        </w:tc>
      </w:tr>
      <w:tr w:rsidR="00E455D0" w:rsidRPr="00296E53" w14:paraId="01197B50" w14:textId="77777777" w:rsidTr="00E455D0">
        <w:trPr>
          <w:trHeight w:val="201"/>
        </w:trPr>
        <w:tc>
          <w:tcPr>
            <w:tcW w:w="7518" w:type="dxa"/>
            <w:shd w:val="clear" w:color="auto" w:fill="0079BF"/>
          </w:tcPr>
          <w:p w14:paraId="17622922" w14:textId="77777777" w:rsidR="00E455D0" w:rsidRPr="00296E53" w:rsidRDefault="00E455D0" w:rsidP="00365D05">
            <w:pPr>
              <w:rPr>
                <w:rFonts w:cstheme="minorHAnsi"/>
                <w:color w:val="FFFFFF" w:themeColor="background1"/>
                <w:sz w:val="2"/>
                <w:szCs w:val="18"/>
              </w:rPr>
            </w:pPr>
          </w:p>
        </w:tc>
        <w:tc>
          <w:tcPr>
            <w:tcW w:w="8789" w:type="dxa"/>
            <w:shd w:val="clear" w:color="auto" w:fill="0079BF"/>
          </w:tcPr>
          <w:p w14:paraId="2BD0B76C" w14:textId="77777777" w:rsidR="00E455D0" w:rsidRPr="00296E53" w:rsidRDefault="00E455D0" w:rsidP="00365D05">
            <w:pPr>
              <w:rPr>
                <w:rFonts w:cstheme="minorHAnsi"/>
                <w:color w:val="FFFFFF" w:themeColor="background1"/>
                <w:sz w:val="2"/>
                <w:szCs w:val="18"/>
              </w:rPr>
            </w:pPr>
          </w:p>
        </w:tc>
      </w:tr>
    </w:tbl>
    <w:p w14:paraId="499C4DB4" w14:textId="77777777" w:rsidR="00E455D0" w:rsidRPr="00296E53" w:rsidRDefault="00E455D0" w:rsidP="00C86454">
      <w:pPr>
        <w:spacing w:after="120"/>
        <w:rPr>
          <w:rFonts w:ascii="Century Gothic" w:hAnsi="Century Gothic"/>
          <w:b/>
          <w:sz w:val="18"/>
        </w:rPr>
      </w:pPr>
    </w:p>
    <w:p w14:paraId="0C5DE197" w14:textId="77777777" w:rsidR="00C86454" w:rsidRPr="00296E53" w:rsidRDefault="00C86454" w:rsidP="00C86454">
      <w:pPr>
        <w:pStyle w:val="Ttulo1"/>
        <w:spacing w:before="0"/>
        <w:rPr>
          <w:rFonts w:ascii="Century Gothic" w:eastAsiaTheme="minorHAnsi" w:hAnsi="Century Gothic" w:cstheme="minorBidi"/>
          <w:b/>
          <w:color w:val="auto"/>
          <w:sz w:val="22"/>
          <w:szCs w:val="22"/>
        </w:rPr>
      </w:pPr>
      <w:bookmarkStart w:id="10" w:name="_Toc65502228"/>
      <w:bookmarkStart w:id="11" w:name="_Hlk62026836"/>
      <w:r w:rsidRPr="00296E53">
        <w:rPr>
          <w:rFonts w:ascii="Century Gothic" w:eastAsiaTheme="minorHAnsi" w:hAnsi="Century Gothic" w:cstheme="minorBidi"/>
          <w:b/>
          <w:color w:val="auto"/>
          <w:sz w:val="22"/>
          <w:szCs w:val="22"/>
        </w:rPr>
        <w:t>Anexo 1: Indicadores de Pertinencia</w:t>
      </w:r>
      <w:bookmarkEnd w:id="10"/>
    </w:p>
    <w:p w14:paraId="08A40BB7" w14:textId="77777777" w:rsidR="00C86454" w:rsidRPr="00296E53" w:rsidRDefault="00C86454" w:rsidP="00C86454">
      <w:pPr>
        <w:spacing w:before="240"/>
        <w:jc w:val="both"/>
        <w:rPr>
          <w:rFonts w:ascii="Century Gothic" w:hAnsi="Century Gothic"/>
          <w:sz w:val="19"/>
          <w:szCs w:val="19"/>
        </w:rPr>
      </w:pPr>
      <w:r w:rsidRPr="00296E53">
        <w:rPr>
          <w:rFonts w:ascii="Century Gothic" w:hAnsi="Century Gothic"/>
          <w:sz w:val="19"/>
          <w:szCs w:val="19"/>
        </w:rPr>
        <w:t xml:space="preserve">Conforme </w:t>
      </w:r>
      <w:r w:rsidR="00405D92" w:rsidRPr="00296E53">
        <w:rPr>
          <w:rFonts w:ascii="Century Gothic" w:hAnsi="Century Gothic"/>
          <w:sz w:val="19"/>
          <w:szCs w:val="19"/>
        </w:rPr>
        <w:t>a</w:t>
      </w:r>
      <w:r w:rsidRPr="00296E53">
        <w:rPr>
          <w:rFonts w:ascii="Century Gothic" w:hAnsi="Century Gothic"/>
          <w:sz w:val="19"/>
          <w:szCs w:val="19"/>
        </w:rPr>
        <w:t xml:space="preserve"> la Política de Calidad Institucional, la </w:t>
      </w:r>
      <w:r w:rsidR="007068A8" w:rsidRPr="00296E53">
        <w:rPr>
          <w:rFonts w:ascii="Century Gothic" w:hAnsi="Century Gothic"/>
          <w:sz w:val="19"/>
          <w:szCs w:val="19"/>
        </w:rPr>
        <w:t xml:space="preserve">pertinencia </w:t>
      </w:r>
      <w:r w:rsidR="00213284" w:rsidRPr="00296E53">
        <w:rPr>
          <w:rFonts w:ascii="Century Gothic" w:hAnsi="Century Gothic"/>
          <w:sz w:val="19"/>
          <w:szCs w:val="19"/>
        </w:rPr>
        <w:t>se refiere a que la información estadística y geográfica satisfaga las necesidades actuales y requerimientos potenciales o emergentes de los usuarios</w:t>
      </w:r>
      <w:r w:rsidRPr="00296E53">
        <w:rPr>
          <w:rFonts w:ascii="Century Gothic" w:hAnsi="Century Gothic"/>
          <w:sz w:val="19"/>
          <w:szCs w:val="19"/>
        </w:rPr>
        <w:t>.</w:t>
      </w:r>
      <w:r w:rsidR="007D411E" w:rsidRPr="00296E53">
        <w:rPr>
          <w:rFonts w:ascii="Century Gothic" w:hAnsi="Century Gothic"/>
          <w:sz w:val="19"/>
          <w:szCs w:val="19"/>
        </w:rPr>
        <w:t xml:space="preserve">  </w:t>
      </w:r>
      <w:r w:rsidR="00F15AB8" w:rsidRPr="00296E53">
        <w:rPr>
          <w:rFonts w:ascii="Century Gothic" w:hAnsi="Century Gothic"/>
          <w:sz w:val="19"/>
          <w:szCs w:val="19"/>
        </w:rPr>
        <w:t>Desde un punto de vista conceptual</w:t>
      </w:r>
      <w:r w:rsidR="007D411E" w:rsidRPr="00296E53">
        <w:rPr>
          <w:rFonts w:ascii="Century Gothic" w:hAnsi="Century Gothic"/>
          <w:sz w:val="19"/>
          <w:szCs w:val="19"/>
        </w:rPr>
        <w:t xml:space="preserve">, el principio de pertinencia </w:t>
      </w:r>
      <w:r w:rsidR="00AF69E6" w:rsidRPr="00296E53">
        <w:rPr>
          <w:rFonts w:ascii="Century Gothic" w:hAnsi="Century Gothic"/>
          <w:sz w:val="19"/>
          <w:szCs w:val="19"/>
        </w:rPr>
        <w:t>tiene dos componentes, por un lado,</w:t>
      </w:r>
      <w:r w:rsidR="003C7D78" w:rsidRPr="00296E53">
        <w:rPr>
          <w:rFonts w:ascii="Century Gothic" w:hAnsi="Century Gothic"/>
          <w:sz w:val="19"/>
          <w:szCs w:val="19"/>
        </w:rPr>
        <w:t xml:space="preserve"> las necesidades de información de los usuarios y</w:t>
      </w:r>
      <w:r w:rsidR="00AF69E6" w:rsidRPr="00296E53">
        <w:rPr>
          <w:rFonts w:ascii="Century Gothic" w:hAnsi="Century Gothic"/>
          <w:sz w:val="19"/>
          <w:szCs w:val="19"/>
        </w:rPr>
        <w:t>, por otro,</w:t>
      </w:r>
      <w:r w:rsidR="003C7D78" w:rsidRPr="00296E53">
        <w:rPr>
          <w:rFonts w:ascii="Century Gothic" w:hAnsi="Century Gothic"/>
          <w:sz w:val="19"/>
          <w:szCs w:val="19"/>
        </w:rPr>
        <w:t xml:space="preserve"> la información producida a través de programas estadísticos y </w:t>
      </w:r>
      <w:r w:rsidR="00AF69E6" w:rsidRPr="00296E53">
        <w:rPr>
          <w:rFonts w:ascii="Century Gothic" w:hAnsi="Century Gothic"/>
          <w:sz w:val="19"/>
          <w:szCs w:val="19"/>
        </w:rPr>
        <w:t>geográficos</w:t>
      </w:r>
      <w:r w:rsidR="00C16E94" w:rsidRPr="00296E53">
        <w:rPr>
          <w:rFonts w:ascii="Century Gothic" w:hAnsi="Century Gothic"/>
          <w:sz w:val="19"/>
          <w:szCs w:val="19"/>
        </w:rPr>
        <w:t xml:space="preserve">. </w:t>
      </w:r>
      <w:r w:rsidR="00CD70FC" w:rsidRPr="00296E53">
        <w:rPr>
          <w:rFonts w:ascii="Century Gothic" w:hAnsi="Century Gothic"/>
          <w:sz w:val="19"/>
          <w:szCs w:val="19"/>
        </w:rPr>
        <w:t>A partir de estos componentes, la pertinencia</w:t>
      </w:r>
      <w:r w:rsidR="00C16E94" w:rsidRPr="00296E53">
        <w:rPr>
          <w:rFonts w:ascii="Century Gothic" w:hAnsi="Century Gothic"/>
          <w:sz w:val="19"/>
          <w:szCs w:val="19"/>
        </w:rPr>
        <w:t xml:space="preserve"> de la información</w:t>
      </w:r>
      <w:r w:rsidR="00CD70FC" w:rsidRPr="00296E53">
        <w:rPr>
          <w:rFonts w:ascii="Century Gothic" w:hAnsi="Century Gothic"/>
          <w:sz w:val="19"/>
          <w:szCs w:val="19"/>
        </w:rPr>
        <w:t xml:space="preserve"> </w:t>
      </w:r>
      <w:r w:rsidR="00C16E94" w:rsidRPr="00296E53">
        <w:rPr>
          <w:rFonts w:ascii="Century Gothic" w:hAnsi="Century Gothic"/>
          <w:sz w:val="19"/>
          <w:szCs w:val="19"/>
        </w:rPr>
        <w:t>tiene dos dimensiones</w:t>
      </w:r>
      <w:r w:rsidR="00862D4B" w:rsidRPr="00296E53">
        <w:rPr>
          <w:rFonts w:ascii="Century Gothic" w:hAnsi="Century Gothic"/>
          <w:sz w:val="19"/>
          <w:szCs w:val="19"/>
        </w:rPr>
        <w:t xml:space="preserve"> (ver esquema </w:t>
      </w:r>
      <w:r w:rsidR="00F20A2B" w:rsidRPr="00296E53">
        <w:rPr>
          <w:rFonts w:ascii="Century Gothic" w:hAnsi="Century Gothic"/>
          <w:sz w:val="19"/>
          <w:szCs w:val="19"/>
        </w:rPr>
        <w:t>A.</w:t>
      </w:r>
      <w:r w:rsidR="007545A4" w:rsidRPr="00296E53">
        <w:rPr>
          <w:rFonts w:ascii="Century Gothic" w:hAnsi="Century Gothic"/>
          <w:sz w:val="19"/>
          <w:szCs w:val="19"/>
        </w:rPr>
        <w:t>1</w:t>
      </w:r>
      <w:r w:rsidR="00F20A2B" w:rsidRPr="00296E53">
        <w:rPr>
          <w:rFonts w:ascii="Century Gothic" w:hAnsi="Century Gothic"/>
          <w:sz w:val="19"/>
          <w:szCs w:val="19"/>
        </w:rPr>
        <w:t>.1</w:t>
      </w:r>
      <w:r w:rsidR="00A609A9" w:rsidRPr="00296E53">
        <w:rPr>
          <w:rFonts w:ascii="Century Gothic" w:hAnsi="Century Gothic"/>
          <w:sz w:val="19"/>
          <w:szCs w:val="19"/>
        </w:rPr>
        <w:t>.</w:t>
      </w:r>
      <w:r w:rsidR="00862D4B" w:rsidRPr="00296E53">
        <w:rPr>
          <w:rFonts w:ascii="Century Gothic" w:hAnsi="Century Gothic"/>
          <w:sz w:val="19"/>
          <w:szCs w:val="19"/>
        </w:rPr>
        <w:t>)</w:t>
      </w:r>
      <w:r w:rsidR="00C16E94" w:rsidRPr="00296E53">
        <w:rPr>
          <w:rFonts w:ascii="Century Gothic" w:hAnsi="Century Gothic"/>
          <w:sz w:val="19"/>
          <w:szCs w:val="19"/>
        </w:rPr>
        <w:t>:</w:t>
      </w:r>
    </w:p>
    <w:p w14:paraId="18622541" w14:textId="77777777" w:rsidR="00091F56" w:rsidRPr="00296E53" w:rsidRDefault="00C16E94" w:rsidP="004C2C1D">
      <w:pPr>
        <w:pStyle w:val="Prrafodelista"/>
        <w:numPr>
          <w:ilvl w:val="0"/>
          <w:numId w:val="4"/>
        </w:numPr>
        <w:spacing w:before="240"/>
        <w:ind w:left="284" w:hanging="284"/>
        <w:jc w:val="both"/>
        <w:rPr>
          <w:rFonts w:ascii="Century Gothic" w:hAnsi="Century Gothic"/>
          <w:sz w:val="19"/>
          <w:szCs w:val="19"/>
        </w:rPr>
      </w:pPr>
      <w:r w:rsidRPr="00296E53">
        <w:rPr>
          <w:rFonts w:ascii="Century Gothic" w:hAnsi="Century Gothic"/>
          <w:sz w:val="19"/>
          <w:szCs w:val="19"/>
        </w:rPr>
        <w:t>Cobertura de las necesidades</w:t>
      </w:r>
      <w:r w:rsidR="00862D4B" w:rsidRPr="00296E53">
        <w:rPr>
          <w:rFonts w:ascii="Century Gothic" w:hAnsi="Century Gothic"/>
          <w:sz w:val="19"/>
          <w:szCs w:val="19"/>
        </w:rPr>
        <w:t>.  Esta dimensi</w:t>
      </w:r>
      <w:r w:rsidR="00091F56" w:rsidRPr="00296E53">
        <w:rPr>
          <w:rFonts w:ascii="Century Gothic" w:hAnsi="Century Gothic"/>
          <w:sz w:val="19"/>
          <w:szCs w:val="19"/>
        </w:rPr>
        <w:t>ón parte de</w:t>
      </w:r>
      <w:r w:rsidR="00862D4B" w:rsidRPr="00296E53">
        <w:rPr>
          <w:rFonts w:ascii="Century Gothic" w:hAnsi="Century Gothic"/>
          <w:sz w:val="19"/>
          <w:szCs w:val="19"/>
        </w:rPr>
        <w:t xml:space="preserve"> </w:t>
      </w:r>
      <w:r w:rsidR="00091F56" w:rsidRPr="00296E53">
        <w:rPr>
          <w:rFonts w:ascii="Century Gothic" w:hAnsi="Century Gothic"/>
          <w:sz w:val="19"/>
          <w:szCs w:val="19"/>
        </w:rPr>
        <w:t>la totalidad de las necesidades de información y verifica para cuáles existe información disponible.</w:t>
      </w:r>
      <w:r w:rsidR="00743BFC" w:rsidRPr="00296E53">
        <w:rPr>
          <w:rFonts w:ascii="Century Gothic" w:hAnsi="Century Gothic"/>
          <w:sz w:val="19"/>
          <w:szCs w:val="19"/>
        </w:rPr>
        <w:t xml:space="preserve">  Es decir, este</w:t>
      </w:r>
      <w:r w:rsidR="00DE4479" w:rsidRPr="00296E53">
        <w:rPr>
          <w:rFonts w:ascii="Century Gothic" w:hAnsi="Century Gothic"/>
          <w:sz w:val="19"/>
          <w:szCs w:val="19"/>
        </w:rPr>
        <w:t xml:space="preserve"> es un enfoque desde la demanda, que permite conocer el nivel de respuesta a las necesidades de los usuarios.</w:t>
      </w:r>
    </w:p>
    <w:bookmarkEnd w:id="11"/>
    <w:p w14:paraId="083BE3D1" w14:textId="77777777" w:rsidR="00C16E94" w:rsidRPr="00296E53" w:rsidRDefault="00091F56" w:rsidP="00C84EFB">
      <w:pPr>
        <w:pStyle w:val="Prrafodelista"/>
        <w:spacing w:before="240"/>
        <w:ind w:left="284" w:hanging="284"/>
        <w:jc w:val="both"/>
        <w:rPr>
          <w:rFonts w:ascii="Century Gothic" w:hAnsi="Century Gothic"/>
          <w:sz w:val="19"/>
          <w:szCs w:val="19"/>
        </w:rPr>
      </w:pPr>
      <w:r w:rsidRPr="00296E53">
        <w:rPr>
          <w:rFonts w:ascii="Century Gothic" w:hAnsi="Century Gothic"/>
          <w:sz w:val="19"/>
          <w:szCs w:val="19"/>
        </w:rPr>
        <w:t xml:space="preserve"> </w:t>
      </w:r>
    </w:p>
    <w:p w14:paraId="7C9F7B0D" w14:textId="77777777" w:rsidR="0042522F" w:rsidRPr="00296E53" w:rsidRDefault="00B34365" w:rsidP="004C2C1D">
      <w:pPr>
        <w:pStyle w:val="Prrafodelista"/>
        <w:numPr>
          <w:ilvl w:val="0"/>
          <w:numId w:val="4"/>
        </w:numPr>
        <w:spacing w:before="240"/>
        <w:ind w:left="284" w:hanging="284"/>
        <w:jc w:val="both"/>
        <w:rPr>
          <w:rFonts w:ascii="Century Gothic" w:hAnsi="Century Gothic"/>
          <w:sz w:val="19"/>
          <w:szCs w:val="19"/>
        </w:rPr>
      </w:pPr>
      <w:r w:rsidRPr="00296E53">
        <w:rPr>
          <w:rFonts w:ascii="Century Gothic" w:hAnsi="Century Gothic"/>
          <w:sz w:val="19"/>
          <w:szCs w:val="19"/>
        </w:rPr>
        <w:t xml:space="preserve">Efectividad de la producción de información.  </w:t>
      </w:r>
      <w:r w:rsidR="00743BFC" w:rsidRPr="00296E53">
        <w:rPr>
          <w:rFonts w:ascii="Century Gothic" w:hAnsi="Century Gothic"/>
          <w:sz w:val="19"/>
          <w:szCs w:val="19"/>
        </w:rPr>
        <w:t xml:space="preserve">En este caso, a partir de la totalidad de información producida se verifica cuál se utiliza para satisfacer las necesidades de los usuarios. Es decir, este es un enfoque desde la </w:t>
      </w:r>
      <w:r w:rsidR="00563207" w:rsidRPr="00296E53">
        <w:rPr>
          <w:rFonts w:ascii="Century Gothic" w:hAnsi="Century Gothic"/>
          <w:sz w:val="19"/>
          <w:szCs w:val="19"/>
        </w:rPr>
        <w:t>oferta</w:t>
      </w:r>
      <w:r w:rsidR="00743BFC" w:rsidRPr="00296E53">
        <w:rPr>
          <w:rFonts w:ascii="Century Gothic" w:hAnsi="Century Gothic"/>
          <w:sz w:val="19"/>
          <w:szCs w:val="19"/>
        </w:rPr>
        <w:t xml:space="preserve"> que permite conocer</w:t>
      </w:r>
      <w:r w:rsidRPr="00296E53">
        <w:rPr>
          <w:rFonts w:ascii="Century Gothic" w:hAnsi="Century Gothic"/>
          <w:sz w:val="19"/>
          <w:szCs w:val="19"/>
        </w:rPr>
        <w:t xml:space="preserve"> el grado en que los programas de información atienden las necesidades</w:t>
      </w:r>
      <w:r w:rsidR="00743BFC" w:rsidRPr="00296E53">
        <w:rPr>
          <w:rFonts w:ascii="Century Gothic" w:hAnsi="Century Gothic"/>
          <w:sz w:val="19"/>
          <w:szCs w:val="19"/>
        </w:rPr>
        <w:t xml:space="preserve">. </w:t>
      </w:r>
    </w:p>
    <w:p w14:paraId="0D408F6C" w14:textId="77777777" w:rsidR="0042522F" w:rsidRPr="00296E53" w:rsidRDefault="0042522F" w:rsidP="0042522F">
      <w:pPr>
        <w:spacing w:before="240"/>
        <w:jc w:val="both"/>
        <w:rPr>
          <w:rFonts w:ascii="Century Gothic" w:hAnsi="Century Gothic"/>
          <w:sz w:val="19"/>
          <w:szCs w:val="19"/>
        </w:rPr>
      </w:pPr>
      <w:r w:rsidRPr="00296E53">
        <w:rPr>
          <w:rFonts w:ascii="Century Gothic" w:hAnsi="Century Gothic"/>
          <w:sz w:val="19"/>
          <w:szCs w:val="19"/>
        </w:rPr>
        <w:t xml:space="preserve">En el caso ideal, donde </w:t>
      </w:r>
      <w:r w:rsidR="00774BC6" w:rsidRPr="00296E53">
        <w:rPr>
          <w:rFonts w:ascii="Century Gothic" w:hAnsi="Century Gothic"/>
          <w:sz w:val="19"/>
          <w:szCs w:val="19"/>
        </w:rPr>
        <w:t>la totalidad de</w:t>
      </w:r>
      <w:r w:rsidRPr="00296E53">
        <w:rPr>
          <w:rFonts w:ascii="Century Gothic" w:hAnsi="Century Gothic"/>
          <w:sz w:val="19"/>
          <w:szCs w:val="19"/>
        </w:rPr>
        <w:t xml:space="preserve"> la información producida se utiliza para satisfacer todas las necesidades de los usuarios, sólo existiría un desfase temporal</w:t>
      </w:r>
      <w:r w:rsidR="003F119D" w:rsidRPr="00296E53">
        <w:rPr>
          <w:rFonts w:ascii="Century Gothic" w:hAnsi="Century Gothic"/>
          <w:sz w:val="19"/>
          <w:szCs w:val="19"/>
        </w:rPr>
        <w:t xml:space="preserve"> derivado de las nuevas necesidades y de innovación </w:t>
      </w:r>
      <w:r w:rsidR="00354C45" w:rsidRPr="00296E53">
        <w:rPr>
          <w:rFonts w:ascii="Century Gothic" w:hAnsi="Century Gothic"/>
          <w:sz w:val="19"/>
          <w:szCs w:val="19"/>
        </w:rPr>
        <w:t xml:space="preserve">en la producción </w:t>
      </w:r>
      <w:r w:rsidR="003F119D" w:rsidRPr="00296E53">
        <w:rPr>
          <w:rFonts w:ascii="Century Gothic" w:hAnsi="Century Gothic"/>
          <w:sz w:val="19"/>
          <w:szCs w:val="19"/>
        </w:rPr>
        <w:t xml:space="preserve">de información antes de ser utilizada </w:t>
      </w:r>
      <w:r w:rsidR="004956D1" w:rsidRPr="00296E53">
        <w:rPr>
          <w:rFonts w:ascii="Century Gothic" w:hAnsi="Century Gothic"/>
          <w:sz w:val="19"/>
          <w:szCs w:val="19"/>
        </w:rPr>
        <w:t>de forma regular</w:t>
      </w:r>
      <w:r w:rsidR="001E421F" w:rsidRPr="00296E53">
        <w:rPr>
          <w:rFonts w:ascii="Century Gothic" w:hAnsi="Century Gothic"/>
          <w:sz w:val="19"/>
          <w:szCs w:val="19"/>
        </w:rPr>
        <w:t xml:space="preserve"> (ver esquema</w:t>
      </w:r>
      <w:r w:rsidR="007545A4" w:rsidRPr="00296E53">
        <w:rPr>
          <w:rFonts w:ascii="Century Gothic" w:hAnsi="Century Gothic"/>
          <w:sz w:val="19"/>
          <w:szCs w:val="19"/>
        </w:rPr>
        <w:t xml:space="preserve"> </w:t>
      </w:r>
      <w:r w:rsidR="00F20A2B" w:rsidRPr="00296E53">
        <w:rPr>
          <w:rFonts w:ascii="Century Gothic" w:hAnsi="Century Gothic"/>
          <w:sz w:val="19"/>
          <w:szCs w:val="19"/>
        </w:rPr>
        <w:t>A.1.</w:t>
      </w:r>
      <w:r w:rsidR="007545A4" w:rsidRPr="00296E53">
        <w:rPr>
          <w:rFonts w:ascii="Century Gothic" w:hAnsi="Century Gothic"/>
          <w:sz w:val="19"/>
          <w:szCs w:val="19"/>
        </w:rPr>
        <w:t>2</w:t>
      </w:r>
      <w:r w:rsidR="00A609A9" w:rsidRPr="00296E53">
        <w:rPr>
          <w:rFonts w:ascii="Century Gothic" w:hAnsi="Century Gothic"/>
          <w:sz w:val="19"/>
          <w:szCs w:val="19"/>
        </w:rPr>
        <w:t>.</w:t>
      </w:r>
      <w:r w:rsidR="001E421F" w:rsidRPr="00296E53">
        <w:rPr>
          <w:rFonts w:ascii="Century Gothic" w:hAnsi="Century Gothic"/>
          <w:sz w:val="19"/>
          <w:szCs w:val="19"/>
        </w:rPr>
        <w:t>)</w:t>
      </w:r>
      <w:r w:rsidRPr="00296E53">
        <w:rPr>
          <w:rFonts w:ascii="Century Gothic" w:hAnsi="Century Gothic"/>
          <w:sz w:val="19"/>
          <w:szCs w:val="19"/>
        </w:rPr>
        <w:t xml:space="preserve">.  </w:t>
      </w:r>
      <w:r w:rsidR="00A5540E" w:rsidRPr="00296E53">
        <w:rPr>
          <w:rFonts w:ascii="Century Gothic" w:hAnsi="Century Gothic"/>
          <w:sz w:val="19"/>
          <w:szCs w:val="19"/>
        </w:rPr>
        <w:t>Es decir, en ningún caso se podría alcanzar</w:t>
      </w:r>
      <w:r w:rsidR="009A2513" w:rsidRPr="00296E53">
        <w:rPr>
          <w:rFonts w:ascii="Century Gothic" w:hAnsi="Century Gothic"/>
          <w:sz w:val="19"/>
          <w:szCs w:val="19"/>
        </w:rPr>
        <w:t xml:space="preserve"> </w:t>
      </w:r>
      <w:r w:rsidR="00A5540E" w:rsidRPr="00296E53">
        <w:rPr>
          <w:rFonts w:ascii="Century Gothic" w:hAnsi="Century Gothic"/>
          <w:sz w:val="19"/>
          <w:szCs w:val="19"/>
        </w:rPr>
        <w:t>una cobertura</w:t>
      </w:r>
      <w:r w:rsidR="00B97073" w:rsidRPr="00296E53">
        <w:rPr>
          <w:rFonts w:ascii="Century Gothic" w:hAnsi="Century Gothic"/>
          <w:sz w:val="19"/>
          <w:szCs w:val="19"/>
        </w:rPr>
        <w:t xml:space="preserve"> completa</w:t>
      </w:r>
      <w:r w:rsidR="00A5540E" w:rsidRPr="00296E53">
        <w:rPr>
          <w:rFonts w:ascii="Century Gothic" w:hAnsi="Century Gothic"/>
          <w:sz w:val="19"/>
          <w:szCs w:val="19"/>
        </w:rPr>
        <w:t xml:space="preserve"> </w:t>
      </w:r>
      <w:r w:rsidR="00405D92" w:rsidRPr="00296E53">
        <w:rPr>
          <w:rFonts w:ascii="Century Gothic" w:hAnsi="Century Gothic"/>
          <w:sz w:val="19"/>
          <w:szCs w:val="19"/>
        </w:rPr>
        <w:t>(</w:t>
      </w:r>
      <w:r w:rsidR="00347176" w:rsidRPr="00296E53">
        <w:rPr>
          <w:rFonts w:ascii="Century Gothic" w:hAnsi="Century Gothic"/>
          <w:sz w:val="19"/>
          <w:szCs w:val="19"/>
        </w:rPr>
        <w:t>efectividad</w:t>
      </w:r>
      <w:r w:rsidR="00A5540E" w:rsidRPr="00296E53">
        <w:rPr>
          <w:rFonts w:ascii="Century Gothic" w:hAnsi="Century Gothic"/>
          <w:sz w:val="19"/>
          <w:szCs w:val="19"/>
        </w:rPr>
        <w:t xml:space="preserve"> del 100%</w:t>
      </w:r>
      <w:r w:rsidR="00405D92" w:rsidRPr="00296E53">
        <w:rPr>
          <w:rFonts w:ascii="Century Gothic" w:hAnsi="Century Gothic"/>
          <w:sz w:val="19"/>
          <w:szCs w:val="19"/>
        </w:rPr>
        <w:t>)</w:t>
      </w:r>
      <w:r w:rsidR="00A5540E" w:rsidRPr="00296E53">
        <w:rPr>
          <w:rFonts w:ascii="Century Gothic" w:hAnsi="Century Gothic"/>
          <w:sz w:val="19"/>
          <w:szCs w:val="19"/>
        </w:rPr>
        <w:t xml:space="preserve">. </w:t>
      </w:r>
    </w:p>
    <w:tbl>
      <w:tblPr>
        <w:tblW w:w="0" w:type="auto"/>
        <w:jc w:val="center"/>
        <w:tblLook w:val="04A0" w:firstRow="1" w:lastRow="0" w:firstColumn="1" w:lastColumn="0" w:noHBand="0" w:noVBand="1"/>
      </w:tblPr>
      <w:tblGrid>
        <w:gridCol w:w="7088"/>
        <w:gridCol w:w="5074"/>
      </w:tblGrid>
      <w:tr w:rsidR="00157BE1" w:rsidRPr="00296E53" w14:paraId="7AA72B25" w14:textId="77777777" w:rsidTr="00E455D0">
        <w:trPr>
          <w:jc w:val="center"/>
        </w:trPr>
        <w:tc>
          <w:tcPr>
            <w:tcW w:w="7088" w:type="dxa"/>
          </w:tcPr>
          <w:p w14:paraId="00CAD2B8" w14:textId="77777777" w:rsidR="00157BE1" w:rsidRPr="00296E53" w:rsidRDefault="00C65646" w:rsidP="00E455D0">
            <w:pPr>
              <w:pStyle w:val="Prrafodelista"/>
              <w:ind w:left="0"/>
              <w:jc w:val="center"/>
              <w:rPr>
                <w:rFonts w:ascii="Century Gothic" w:hAnsi="Century Gothic"/>
                <w:b/>
                <w:sz w:val="19"/>
                <w:szCs w:val="19"/>
              </w:rPr>
            </w:pPr>
            <w:r w:rsidRPr="00296E53">
              <w:rPr>
                <w:rFonts w:ascii="Century Gothic" w:hAnsi="Century Gothic"/>
                <w:b/>
                <w:sz w:val="19"/>
                <w:szCs w:val="19"/>
              </w:rPr>
              <w:t>A.</w:t>
            </w:r>
            <w:r w:rsidR="00157BE1" w:rsidRPr="00296E53">
              <w:rPr>
                <w:rFonts w:ascii="Century Gothic" w:hAnsi="Century Gothic"/>
                <w:b/>
                <w:sz w:val="19"/>
                <w:szCs w:val="19"/>
              </w:rPr>
              <w:t>1</w:t>
            </w:r>
            <w:r w:rsidRPr="00296E53">
              <w:rPr>
                <w:rFonts w:ascii="Century Gothic" w:hAnsi="Century Gothic"/>
                <w:b/>
                <w:sz w:val="19"/>
                <w:szCs w:val="19"/>
              </w:rPr>
              <w:t>.1</w:t>
            </w:r>
            <w:r w:rsidR="00157BE1" w:rsidRPr="00296E53">
              <w:rPr>
                <w:rFonts w:ascii="Century Gothic" w:hAnsi="Century Gothic"/>
                <w:b/>
                <w:sz w:val="19"/>
                <w:szCs w:val="19"/>
              </w:rPr>
              <w:t>.</w:t>
            </w:r>
            <w:r w:rsidR="00782A01" w:rsidRPr="00296E53">
              <w:rPr>
                <w:rFonts w:ascii="Century Gothic" w:hAnsi="Century Gothic"/>
                <w:b/>
                <w:sz w:val="19"/>
                <w:szCs w:val="19"/>
              </w:rPr>
              <w:t xml:space="preserve">  Esquema Conceptual para la medición de pertinencia</w:t>
            </w:r>
          </w:p>
        </w:tc>
        <w:tc>
          <w:tcPr>
            <w:tcW w:w="5074" w:type="dxa"/>
          </w:tcPr>
          <w:p w14:paraId="00027DF7" w14:textId="77777777" w:rsidR="00157BE1" w:rsidRPr="00296E53" w:rsidRDefault="00C65646" w:rsidP="00E455D0">
            <w:pPr>
              <w:pStyle w:val="Prrafodelista"/>
              <w:ind w:left="0"/>
              <w:jc w:val="center"/>
              <w:rPr>
                <w:rFonts w:ascii="Century Gothic" w:hAnsi="Century Gothic"/>
                <w:b/>
                <w:sz w:val="19"/>
                <w:szCs w:val="19"/>
              </w:rPr>
            </w:pPr>
            <w:r w:rsidRPr="00296E53">
              <w:rPr>
                <w:rFonts w:ascii="Century Gothic" w:hAnsi="Century Gothic"/>
                <w:b/>
                <w:sz w:val="19"/>
                <w:szCs w:val="19"/>
              </w:rPr>
              <w:t>A.1.2</w:t>
            </w:r>
            <w:r w:rsidR="00782A01" w:rsidRPr="00296E53">
              <w:rPr>
                <w:rFonts w:ascii="Century Gothic" w:hAnsi="Century Gothic"/>
                <w:b/>
                <w:sz w:val="19"/>
                <w:szCs w:val="19"/>
              </w:rPr>
              <w:t>.  Caso ideal de pertinencia</w:t>
            </w:r>
          </w:p>
        </w:tc>
      </w:tr>
      <w:tr w:rsidR="00E455D0" w:rsidRPr="00296E53" w14:paraId="51EF9429" w14:textId="77777777" w:rsidTr="00E455D0">
        <w:trPr>
          <w:jc w:val="center"/>
        </w:trPr>
        <w:tc>
          <w:tcPr>
            <w:tcW w:w="7088" w:type="dxa"/>
            <w:vAlign w:val="center"/>
          </w:tcPr>
          <w:p w14:paraId="7A2F1B8A" w14:textId="77777777" w:rsidR="00E455D0" w:rsidRPr="00296E53" w:rsidRDefault="00E455D0" w:rsidP="00E455D0">
            <w:pPr>
              <w:pStyle w:val="Prrafodelista"/>
              <w:ind w:left="0"/>
              <w:jc w:val="center"/>
              <w:rPr>
                <w:rFonts w:ascii="Century Gothic" w:hAnsi="Century Gothic"/>
                <w:b/>
                <w:sz w:val="19"/>
                <w:szCs w:val="19"/>
              </w:rPr>
            </w:pPr>
            <w:r w:rsidRPr="00296E53">
              <w:rPr>
                <w:rFonts w:ascii="Century Gothic" w:hAnsi="Century Gothic"/>
                <w:b/>
                <w:noProof/>
                <w:sz w:val="19"/>
                <w:szCs w:val="19"/>
                <w:lang w:eastAsia="es-MX"/>
              </w:rPr>
              <w:drawing>
                <wp:inline distT="0" distB="0" distL="0" distR="0" wp14:anchorId="21838C06" wp14:editId="4E9F834B">
                  <wp:extent cx="3678115" cy="2622239"/>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4808" cy="2627011"/>
                          </a:xfrm>
                          <a:prstGeom prst="rect">
                            <a:avLst/>
                          </a:prstGeom>
                          <a:noFill/>
                          <a:ln>
                            <a:noFill/>
                          </a:ln>
                        </pic:spPr>
                      </pic:pic>
                    </a:graphicData>
                  </a:graphic>
                </wp:inline>
              </w:drawing>
            </w:r>
          </w:p>
        </w:tc>
        <w:tc>
          <w:tcPr>
            <w:tcW w:w="5074" w:type="dxa"/>
            <w:vAlign w:val="center"/>
          </w:tcPr>
          <w:p w14:paraId="7C408307" w14:textId="77777777" w:rsidR="00E455D0" w:rsidRPr="00296E53" w:rsidRDefault="00E455D0" w:rsidP="00E455D0">
            <w:pPr>
              <w:pStyle w:val="Prrafodelista"/>
              <w:ind w:left="0"/>
              <w:jc w:val="center"/>
              <w:rPr>
                <w:rFonts w:ascii="Century Gothic" w:hAnsi="Century Gothic"/>
                <w:b/>
                <w:sz w:val="19"/>
                <w:szCs w:val="19"/>
              </w:rPr>
            </w:pPr>
            <w:r w:rsidRPr="00296E53">
              <w:rPr>
                <w:rFonts w:ascii="Century Gothic" w:hAnsi="Century Gothic"/>
                <w:b/>
                <w:noProof/>
                <w:sz w:val="19"/>
                <w:szCs w:val="19"/>
                <w:lang w:eastAsia="es-MX"/>
              </w:rPr>
              <w:drawing>
                <wp:inline distT="0" distB="0" distL="0" distR="0" wp14:anchorId="587CA82A" wp14:editId="414C3DE2">
                  <wp:extent cx="2173458" cy="245838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3458" cy="2458388"/>
                          </a:xfrm>
                          <a:prstGeom prst="rect">
                            <a:avLst/>
                          </a:prstGeom>
                          <a:noFill/>
                          <a:ln>
                            <a:noFill/>
                          </a:ln>
                        </pic:spPr>
                      </pic:pic>
                    </a:graphicData>
                  </a:graphic>
                </wp:inline>
              </w:drawing>
            </w:r>
          </w:p>
        </w:tc>
      </w:tr>
    </w:tbl>
    <w:p w14:paraId="6F13C308" w14:textId="22D560AC" w:rsidR="00236E2C" w:rsidRPr="00296E53" w:rsidRDefault="00FD7D71" w:rsidP="00F1035E">
      <w:pPr>
        <w:spacing w:before="240"/>
        <w:jc w:val="both"/>
        <w:rPr>
          <w:rFonts w:ascii="Century Gothic" w:hAnsi="Century Gothic"/>
          <w:sz w:val="19"/>
          <w:szCs w:val="19"/>
        </w:rPr>
      </w:pPr>
      <w:r w:rsidRPr="00296E53">
        <w:rPr>
          <w:rFonts w:ascii="Century Gothic" w:hAnsi="Century Gothic"/>
          <w:sz w:val="19"/>
          <w:szCs w:val="19"/>
        </w:rPr>
        <w:t>El primer paso para avanzar en la medición de la pertinencia fue</w:t>
      </w:r>
      <w:r w:rsidR="00DC5D0F" w:rsidRPr="00296E53">
        <w:rPr>
          <w:rFonts w:ascii="Century Gothic" w:hAnsi="Century Gothic"/>
          <w:sz w:val="19"/>
          <w:szCs w:val="19"/>
        </w:rPr>
        <w:t xml:space="preserve"> determinar las principales fuentes de las necesidades de informaci</w:t>
      </w:r>
      <w:r w:rsidR="007D7AFB" w:rsidRPr="00296E53">
        <w:rPr>
          <w:rFonts w:ascii="Century Gothic" w:hAnsi="Century Gothic"/>
          <w:sz w:val="19"/>
          <w:szCs w:val="19"/>
        </w:rPr>
        <w:t xml:space="preserve">ón, para lo cual se realizó un análisis </w:t>
      </w:r>
      <w:r w:rsidR="00E41EAC" w:rsidRPr="00296E53">
        <w:rPr>
          <w:rFonts w:ascii="Century Gothic" w:hAnsi="Century Gothic"/>
          <w:sz w:val="19"/>
          <w:szCs w:val="19"/>
        </w:rPr>
        <w:t>del marco legal</w:t>
      </w:r>
      <w:r w:rsidR="007D7AFB" w:rsidRPr="00296E53">
        <w:rPr>
          <w:rFonts w:ascii="Century Gothic" w:hAnsi="Century Gothic"/>
          <w:sz w:val="19"/>
          <w:szCs w:val="19"/>
        </w:rPr>
        <w:t xml:space="preserve">. </w:t>
      </w:r>
      <w:r w:rsidR="00E41EAC" w:rsidRPr="00296E53">
        <w:rPr>
          <w:rFonts w:ascii="Century Gothic" w:hAnsi="Century Gothic"/>
          <w:sz w:val="19"/>
          <w:szCs w:val="19"/>
        </w:rPr>
        <w:t xml:space="preserve">El artículo 26 de la Constitución Política de los Estados Unidos Mexicanos </w:t>
      </w:r>
      <w:r w:rsidR="00405D92" w:rsidRPr="00296E53">
        <w:rPr>
          <w:rFonts w:ascii="Century Gothic" w:hAnsi="Century Gothic"/>
          <w:sz w:val="19"/>
          <w:szCs w:val="19"/>
        </w:rPr>
        <w:t>establece</w:t>
      </w:r>
      <w:r w:rsidR="00E41EAC" w:rsidRPr="00296E53">
        <w:rPr>
          <w:rFonts w:ascii="Century Gothic" w:hAnsi="Century Gothic"/>
          <w:sz w:val="19"/>
          <w:szCs w:val="19"/>
        </w:rPr>
        <w:t xml:space="preserve"> el Sistema de Planeación Democrática del Desarrollo Nacional, el Sistema Nacional de Información Estadística y Geográfica (SNIEG) y al organismo encargado de la evaluación de la política de desarrollo social. Así, en el contexto constitucional, la información está ligada a la planeación del Estado y a la rendición de cuentas a la sociedad. Este aspecto está reforzado en </w:t>
      </w:r>
      <w:r w:rsidR="00A5748E" w:rsidRPr="00296E53">
        <w:rPr>
          <w:rFonts w:ascii="Century Gothic" w:hAnsi="Century Gothic"/>
          <w:sz w:val="19"/>
          <w:szCs w:val="19"/>
        </w:rPr>
        <w:t xml:space="preserve">el artículo 3 de </w:t>
      </w:r>
      <w:r w:rsidR="00E41EAC" w:rsidRPr="00296E53">
        <w:rPr>
          <w:rFonts w:ascii="Century Gothic" w:hAnsi="Century Gothic"/>
          <w:sz w:val="19"/>
          <w:szCs w:val="19"/>
        </w:rPr>
        <w:t>la Ley del SNIEG, donde se establece que la finalidad de la información suministrada por el SNIEG es la de coadyuvar al desarrollo nacional.</w:t>
      </w:r>
      <w:r w:rsidR="00236E2C" w:rsidRPr="00296E53">
        <w:rPr>
          <w:rFonts w:ascii="Century Gothic" w:hAnsi="Century Gothic"/>
          <w:sz w:val="19"/>
          <w:szCs w:val="19"/>
        </w:rPr>
        <w:t xml:space="preserve">  </w:t>
      </w:r>
    </w:p>
    <w:p w14:paraId="642DF773" w14:textId="6EEA5995" w:rsidR="0070451D" w:rsidRPr="00296E53" w:rsidRDefault="00236E2C" w:rsidP="00F1035E">
      <w:pPr>
        <w:spacing w:before="240"/>
        <w:jc w:val="both"/>
        <w:rPr>
          <w:rFonts w:ascii="Century Gothic" w:hAnsi="Century Gothic"/>
          <w:sz w:val="19"/>
          <w:szCs w:val="19"/>
        </w:rPr>
      </w:pPr>
      <w:r w:rsidRPr="00296E53">
        <w:rPr>
          <w:rFonts w:ascii="Century Gothic" w:hAnsi="Century Gothic"/>
          <w:sz w:val="19"/>
          <w:szCs w:val="19"/>
        </w:rPr>
        <w:t xml:space="preserve">A partir de este análisis se determinó que las necesidades de información deben estar vinculadas a la necesidad de información para la planeación y evaluación de los </w:t>
      </w:r>
      <w:r w:rsidR="00E85CD9" w:rsidRPr="00296E53">
        <w:rPr>
          <w:rFonts w:ascii="Century Gothic" w:hAnsi="Century Gothic"/>
          <w:sz w:val="19"/>
          <w:szCs w:val="19"/>
        </w:rPr>
        <w:t>temas del desarrollo nacional. Posteriormente</w:t>
      </w:r>
      <w:r w:rsidR="00232426" w:rsidRPr="00296E53">
        <w:rPr>
          <w:rFonts w:ascii="Century Gothic" w:hAnsi="Century Gothic"/>
          <w:sz w:val="19"/>
          <w:szCs w:val="19"/>
        </w:rPr>
        <w:t>,</w:t>
      </w:r>
      <w:r w:rsidR="00E85CD9" w:rsidRPr="00296E53">
        <w:rPr>
          <w:rFonts w:ascii="Century Gothic" w:hAnsi="Century Gothic"/>
          <w:sz w:val="19"/>
          <w:szCs w:val="19"/>
        </w:rPr>
        <w:t xml:space="preserve"> se identificaron los instrumentos nacionales e internacionales que rigen los objetivos del desarrollo nacional, los cuales se dividen en las siguientes categorías: </w:t>
      </w:r>
    </w:p>
    <w:p w14:paraId="527AE632" w14:textId="77777777" w:rsidR="009D0AAE" w:rsidRPr="00296E53" w:rsidRDefault="001A22A4" w:rsidP="004C2C1D">
      <w:pPr>
        <w:pStyle w:val="Prrafodelista"/>
        <w:numPr>
          <w:ilvl w:val="0"/>
          <w:numId w:val="5"/>
        </w:numPr>
        <w:spacing w:before="240"/>
        <w:ind w:left="284" w:hanging="284"/>
        <w:jc w:val="both"/>
        <w:rPr>
          <w:rFonts w:ascii="Century Gothic" w:hAnsi="Century Gothic"/>
          <w:sz w:val="19"/>
          <w:szCs w:val="19"/>
        </w:rPr>
      </w:pPr>
      <w:r w:rsidRPr="00296E53">
        <w:rPr>
          <w:rFonts w:ascii="Century Gothic" w:hAnsi="Century Gothic"/>
          <w:sz w:val="19"/>
          <w:szCs w:val="19"/>
        </w:rPr>
        <w:t xml:space="preserve">Marco legal, que incluye las disposiciones de la </w:t>
      </w:r>
      <w:r w:rsidR="00E85CD9" w:rsidRPr="00296E53">
        <w:rPr>
          <w:rFonts w:ascii="Century Gothic" w:hAnsi="Century Gothic"/>
          <w:sz w:val="19"/>
          <w:szCs w:val="19"/>
        </w:rPr>
        <w:t>Cons</w:t>
      </w:r>
      <w:r w:rsidRPr="00296E53">
        <w:rPr>
          <w:rFonts w:ascii="Century Gothic" w:hAnsi="Century Gothic"/>
          <w:sz w:val="19"/>
          <w:szCs w:val="19"/>
        </w:rPr>
        <w:t>titución Política de los Estados Unidos Mexicanos, Leyes Federales y Tratados Internacionales.</w:t>
      </w:r>
    </w:p>
    <w:p w14:paraId="4FDDE9D3" w14:textId="77777777" w:rsidR="001A22A4" w:rsidRPr="00296E53" w:rsidRDefault="001A22A4" w:rsidP="004C2C1D">
      <w:pPr>
        <w:pStyle w:val="Prrafodelista"/>
        <w:numPr>
          <w:ilvl w:val="0"/>
          <w:numId w:val="5"/>
        </w:numPr>
        <w:spacing w:before="240"/>
        <w:ind w:left="284" w:hanging="284"/>
        <w:jc w:val="both"/>
        <w:rPr>
          <w:rFonts w:ascii="Century Gothic" w:hAnsi="Century Gothic"/>
          <w:sz w:val="19"/>
          <w:szCs w:val="19"/>
        </w:rPr>
      </w:pPr>
      <w:r w:rsidRPr="00296E53">
        <w:rPr>
          <w:rFonts w:ascii="Century Gothic" w:hAnsi="Century Gothic"/>
          <w:sz w:val="19"/>
          <w:szCs w:val="19"/>
        </w:rPr>
        <w:t xml:space="preserve">Objetivos de desarrollo expuestos en </w:t>
      </w:r>
      <w:r w:rsidR="00405D92" w:rsidRPr="00296E53">
        <w:rPr>
          <w:rFonts w:ascii="Century Gothic" w:hAnsi="Century Gothic"/>
          <w:sz w:val="19"/>
          <w:szCs w:val="19"/>
        </w:rPr>
        <w:t>e</w:t>
      </w:r>
      <w:r w:rsidRPr="00296E53">
        <w:rPr>
          <w:rFonts w:ascii="Century Gothic" w:hAnsi="Century Gothic"/>
          <w:sz w:val="19"/>
          <w:szCs w:val="19"/>
        </w:rPr>
        <w:t>l Plan Nacional de Desarrollo (PND)</w:t>
      </w:r>
      <w:r w:rsidR="00A609A9" w:rsidRPr="00296E53">
        <w:rPr>
          <w:rFonts w:ascii="Century Gothic" w:hAnsi="Century Gothic"/>
          <w:sz w:val="19"/>
          <w:szCs w:val="19"/>
        </w:rPr>
        <w:t xml:space="preserve"> vigente</w:t>
      </w:r>
      <w:r w:rsidR="002C7385" w:rsidRPr="00296E53">
        <w:rPr>
          <w:rFonts w:ascii="Century Gothic" w:hAnsi="Century Gothic"/>
          <w:sz w:val="19"/>
          <w:szCs w:val="19"/>
        </w:rPr>
        <w:t>,</w:t>
      </w:r>
      <w:r w:rsidRPr="00296E53">
        <w:rPr>
          <w:rFonts w:ascii="Century Gothic" w:hAnsi="Century Gothic"/>
          <w:sz w:val="19"/>
          <w:szCs w:val="19"/>
        </w:rPr>
        <w:t xml:space="preserve"> y los programas que de él se derivan</w:t>
      </w:r>
      <w:r w:rsidR="00405D92" w:rsidRPr="00296E53">
        <w:rPr>
          <w:rFonts w:ascii="Century Gothic" w:hAnsi="Century Gothic"/>
          <w:sz w:val="19"/>
          <w:szCs w:val="19"/>
        </w:rPr>
        <w:t>, así como en los Objetivos de Desarrollo Sostenible (ODS)</w:t>
      </w:r>
      <w:r w:rsidRPr="00296E53">
        <w:rPr>
          <w:rFonts w:ascii="Century Gothic" w:hAnsi="Century Gothic"/>
          <w:sz w:val="19"/>
          <w:szCs w:val="19"/>
        </w:rPr>
        <w:t>.</w:t>
      </w:r>
    </w:p>
    <w:p w14:paraId="0F601F71" w14:textId="77777777" w:rsidR="008C4C91" w:rsidRPr="00296E53" w:rsidRDefault="009C640F" w:rsidP="004C2C1D">
      <w:pPr>
        <w:pStyle w:val="Prrafodelista"/>
        <w:numPr>
          <w:ilvl w:val="0"/>
          <w:numId w:val="5"/>
        </w:numPr>
        <w:spacing w:before="240"/>
        <w:ind w:left="284" w:hanging="284"/>
        <w:jc w:val="both"/>
        <w:rPr>
          <w:rFonts w:ascii="Century Gothic" w:hAnsi="Century Gothic"/>
          <w:sz w:val="19"/>
          <w:szCs w:val="19"/>
        </w:rPr>
      </w:pPr>
      <w:r w:rsidRPr="00296E53">
        <w:rPr>
          <w:rFonts w:ascii="Century Gothic" w:hAnsi="Century Gothic"/>
          <w:sz w:val="19"/>
          <w:szCs w:val="19"/>
        </w:rPr>
        <w:t>Temas de coyuntura que se convierten en necesidades de información.</w:t>
      </w:r>
    </w:p>
    <w:p w14:paraId="75A2F914" w14:textId="77777777" w:rsidR="009D0AAE" w:rsidRPr="00296E53" w:rsidRDefault="006D7E64" w:rsidP="00F1035E">
      <w:pPr>
        <w:spacing w:before="240"/>
        <w:jc w:val="both"/>
        <w:rPr>
          <w:rFonts w:ascii="Century Gothic" w:hAnsi="Century Gothic"/>
          <w:sz w:val="19"/>
          <w:szCs w:val="19"/>
        </w:rPr>
      </w:pPr>
      <w:r w:rsidRPr="00296E53">
        <w:rPr>
          <w:rFonts w:ascii="Century Gothic" w:hAnsi="Century Gothic"/>
          <w:sz w:val="19"/>
          <w:szCs w:val="19"/>
        </w:rPr>
        <w:t xml:space="preserve">En 2019 se avanzó en la definición de indicadores de pertinencia desde el punto de vista de la medición de la efectividad de la producción de información. </w:t>
      </w:r>
      <w:r w:rsidR="009C5202" w:rsidRPr="00296E53">
        <w:rPr>
          <w:rFonts w:ascii="Century Gothic" w:hAnsi="Century Gothic"/>
          <w:sz w:val="19"/>
          <w:szCs w:val="19"/>
        </w:rPr>
        <w:t>Se aprobaron indicadores que permiten conocer el porcentaje de programas cuya información se utiliza para atender las disposiciones del marco legal</w:t>
      </w:r>
      <w:r w:rsidR="003A0B62" w:rsidRPr="00296E53">
        <w:rPr>
          <w:rFonts w:ascii="Century Gothic" w:hAnsi="Century Gothic"/>
          <w:sz w:val="19"/>
          <w:szCs w:val="19"/>
        </w:rPr>
        <w:t>,</w:t>
      </w:r>
      <w:r w:rsidR="009C5202" w:rsidRPr="00296E53">
        <w:rPr>
          <w:rFonts w:ascii="Century Gothic" w:hAnsi="Century Gothic"/>
          <w:sz w:val="19"/>
          <w:szCs w:val="19"/>
        </w:rPr>
        <w:t xml:space="preserve"> así como los objetivos de desarrollo. Sin embargo, para producir la información final se requiere llevar a cabo programas de información intermedios de uso interno, por lo que se incluyeron </w:t>
      </w:r>
      <w:r w:rsidR="0083430B" w:rsidRPr="00296E53">
        <w:rPr>
          <w:rFonts w:ascii="Century Gothic" w:hAnsi="Century Gothic"/>
          <w:sz w:val="19"/>
          <w:szCs w:val="19"/>
        </w:rPr>
        <w:t>dos</w:t>
      </w:r>
      <w:r w:rsidR="009C5202" w:rsidRPr="00296E53">
        <w:rPr>
          <w:rFonts w:ascii="Century Gothic" w:hAnsi="Century Gothic"/>
          <w:sz w:val="19"/>
          <w:szCs w:val="19"/>
        </w:rPr>
        <w:t xml:space="preserve"> indicadores </w:t>
      </w:r>
      <w:r w:rsidR="0083430B" w:rsidRPr="00296E53">
        <w:rPr>
          <w:rFonts w:ascii="Century Gothic" w:hAnsi="Century Gothic"/>
          <w:sz w:val="19"/>
          <w:szCs w:val="19"/>
        </w:rPr>
        <w:t>para</w:t>
      </w:r>
      <w:r w:rsidR="009C5202" w:rsidRPr="00296E53">
        <w:rPr>
          <w:rFonts w:ascii="Century Gothic" w:hAnsi="Century Gothic"/>
          <w:sz w:val="19"/>
          <w:szCs w:val="19"/>
        </w:rPr>
        <w:t xml:space="preserve"> que se puedan realizar análisis completos de pertinencia.</w:t>
      </w:r>
      <w:r w:rsidR="0083430B" w:rsidRPr="00296E53">
        <w:rPr>
          <w:rFonts w:ascii="Century Gothic" w:hAnsi="Century Gothic"/>
          <w:sz w:val="19"/>
          <w:szCs w:val="19"/>
        </w:rPr>
        <w:t xml:space="preserve"> Por completitud también se incluyeron indicadores de consultas de información. </w:t>
      </w:r>
      <w:r w:rsidR="00A00294" w:rsidRPr="00296E53">
        <w:rPr>
          <w:rFonts w:ascii="Century Gothic" w:hAnsi="Century Gothic"/>
          <w:sz w:val="19"/>
          <w:szCs w:val="19"/>
        </w:rPr>
        <w:t xml:space="preserve">Los indicadores aprobados se presentan en el </w:t>
      </w:r>
      <w:r w:rsidR="00840923" w:rsidRPr="00296E53">
        <w:rPr>
          <w:rFonts w:ascii="Century Gothic" w:hAnsi="Century Gothic"/>
          <w:sz w:val="19"/>
          <w:szCs w:val="19"/>
        </w:rPr>
        <w:t xml:space="preserve">esquema </w:t>
      </w:r>
      <w:r w:rsidR="00A609A9" w:rsidRPr="00296E53">
        <w:rPr>
          <w:rFonts w:ascii="Century Gothic" w:hAnsi="Century Gothic"/>
          <w:sz w:val="19"/>
          <w:szCs w:val="19"/>
        </w:rPr>
        <w:t>A.1.</w:t>
      </w:r>
      <w:r w:rsidR="00840923" w:rsidRPr="00296E53">
        <w:rPr>
          <w:rFonts w:ascii="Century Gothic" w:hAnsi="Century Gothic"/>
          <w:sz w:val="19"/>
          <w:szCs w:val="19"/>
        </w:rPr>
        <w:t>3</w:t>
      </w:r>
      <w:r w:rsidR="00A00294" w:rsidRPr="00296E53">
        <w:rPr>
          <w:rFonts w:ascii="Century Gothic" w:hAnsi="Century Gothic"/>
          <w:sz w:val="19"/>
          <w:szCs w:val="19"/>
        </w:rPr>
        <w:t>.</w:t>
      </w:r>
    </w:p>
    <w:p w14:paraId="083A7BF7" w14:textId="77777777" w:rsidR="00840923" w:rsidRPr="00296E53" w:rsidRDefault="00ED1BD7" w:rsidP="00840923">
      <w:pPr>
        <w:spacing w:before="240"/>
        <w:jc w:val="center"/>
        <w:rPr>
          <w:rFonts w:ascii="Century Gothic" w:hAnsi="Century Gothic"/>
          <w:b/>
          <w:sz w:val="19"/>
          <w:szCs w:val="19"/>
        </w:rPr>
      </w:pPr>
      <w:r w:rsidRPr="00296E53">
        <w:t xml:space="preserve"> </w:t>
      </w:r>
      <w:r w:rsidR="00C65646" w:rsidRPr="00296E53">
        <w:rPr>
          <w:rFonts w:ascii="Century Gothic" w:hAnsi="Century Gothic"/>
          <w:b/>
          <w:sz w:val="19"/>
          <w:szCs w:val="19"/>
        </w:rPr>
        <w:t>A.1.</w:t>
      </w:r>
      <w:r w:rsidR="00840923" w:rsidRPr="00296E53">
        <w:rPr>
          <w:rFonts w:ascii="Century Gothic" w:hAnsi="Century Gothic"/>
          <w:b/>
          <w:sz w:val="19"/>
          <w:szCs w:val="19"/>
        </w:rPr>
        <w:t>3</w:t>
      </w:r>
      <w:r w:rsidR="00257D7D" w:rsidRPr="00296E53">
        <w:rPr>
          <w:rFonts w:ascii="Century Gothic" w:hAnsi="Century Gothic"/>
          <w:b/>
          <w:sz w:val="19"/>
          <w:szCs w:val="19"/>
        </w:rPr>
        <w:t>.  Indicadores Aprobados por el Comité de Aseguramiento de la Calidad</w:t>
      </w:r>
    </w:p>
    <w:p w14:paraId="46B26468" w14:textId="77777777" w:rsidR="000B1650" w:rsidRPr="00296E53" w:rsidRDefault="001B4602" w:rsidP="00840923">
      <w:pPr>
        <w:spacing w:before="240"/>
        <w:jc w:val="center"/>
        <w:rPr>
          <w:rFonts w:ascii="Century Gothic" w:hAnsi="Century Gothic"/>
          <w:b/>
          <w:sz w:val="19"/>
          <w:szCs w:val="19"/>
        </w:rPr>
      </w:pPr>
      <w:r w:rsidRPr="00296E53">
        <w:rPr>
          <w:noProof/>
          <w:lang w:eastAsia="es-MX"/>
        </w:rPr>
        <w:drawing>
          <wp:inline distT="0" distB="0" distL="0" distR="0" wp14:anchorId="24EECCC9" wp14:editId="78331202">
            <wp:extent cx="9144000" cy="257619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0" cy="2576195"/>
                    </a:xfrm>
                    <a:prstGeom prst="rect">
                      <a:avLst/>
                    </a:prstGeom>
                    <a:noFill/>
                    <a:ln>
                      <a:noFill/>
                    </a:ln>
                  </pic:spPr>
                </pic:pic>
              </a:graphicData>
            </a:graphic>
          </wp:inline>
        </w:drawing>
      </w:r>
    </w:p>
    <w:p w14:paraId="44C2D408" w14:textId="77777777" w:rsidR="00FD0B66" w:rsidRPr="00296E53" w:rsidRDefault="00FD0B66" w:rsidP="00F1035E">
      <w:pPr>
        <w:spacing w:before="240"/>
        <w:jc w:val="both"/>
        <w:rPr>
          <w:rFonts w:ascii="Century Gothic" w:hAnsi="Century Gothic"/>
          <w:sz w:val="19"/>
          <w:szCs w:val="19"/>
        </w:rPr>
      </w:pPr>
    </w:p>
    <w:p w14:paraId="014D001E" w14:textId="77777777" w:rsidR="00A00294" w:rsidRPr="00296E53" w:rsidRDefault="00AB3D9B" w:rsidP="00F1035E">
      <w:pPr>
        <w:spacing w:before="240"/>
        <w:jc w:val="both"/>
        <w:rPr>
          <w:rFonts w:ascii="Century Gothic" w:hAnsi="Century Gothic"/>
          <w:sz w:val="19"/>
          <w:szCs w:val="19"/>
        </w:rPr>
      </w:pPr>
      <w:r w:rsidRPr="00296E53">
        <w:rPr>
          <w:rFonts w:ascii="Century Gothic" w:hAnsi="Century Gothic"/>
          <w:sz w:val="19"/>
          <w:szCs w:val="19"/>
        </w:rPr>
        <w:t xml:space="preserve">Durante la </w:t>
      </w:r>
      <w:r w:rsidR="00867496" w:rsidRPr="00296E53">
        <w:rPr>
          <w:rFonts w:ascii="Century Gothic" w:hAnsi="Century Gothic"/>
          <w:sz w:val="19"/>
          <w:szCs w:val="19"/>
        </w:rPr>
        <w:t>discusión de los indicadores</w:t>
      </w:r>
      <w:r w:rsidR="00B07847" w:rsidRPr="00296E53">
        <w:rPr>
          <w:rFonts w:ascii="Century Gothic" w:hAnsi="Century Gothic"/>
          <w:sz w:val="19"/>
          <w:szCs w:val="19"/>
        </w:rPr>
        <w:t xml:space="preserve"> en el Comité de Aseguramiento de la Calidad</w:t>
      </w:r>
      <w:r w:rsidR="00867496" w:rsidRPr="00296E53">
        <w:rPr>
          <w:rFonts w:ascii="Century Gothic" w:hAnsi="Century Gothic"/>
          <w:sz w:val="19"/>
          <w:szCs w:val="19"/>
        </w:rPr>
        <w:t xml:space="preserve"> se analizó la conveniencia de ponderar los distintos elementos de la pertinencia </w:t>
      </w:r>
      <w:r w:rsidR="006625AA" w:rsidRPr="00296E53">
        <w:rPr>
          <w:rFonts w:ascii="Century Gothic" w:hAnsi="Century Gothic"/>
          <w:sz w:val="19"/>
          <w:szCs w:val="19"/>
        </w:rPr>
        <w:t xml:space="preserve">y se llegó a la conclusión de presentar los indicadores por </w:t>
      </w:r>
      <w:r w:rsidR="007E4D8F" w:rsidRPr="00296E53">
        <w:rPr>
          <w:rFonts w:ascii="Century Gothic" w:hAnsi="Century Gothic"/>
          <w:sz w:val="19"/>
          <w:szCs w:val="19"/>
        </w:rPr>
        <w:t>separado,</w:t>
      </w:r>
      <w:r w:rsidR="006625AA" w:rsidRPr="00296E53">
        <w:rPr>
          <w:rFonts w:ascii="Century Gothic" w:hAnsi="Century Gothic"/>
          <w:sz w:val="19"/>
          <w:szCs w:val="19"/>
        </w:rPr>
        <w:t xml:space="preserve"> así como los datos de origen para que quien utilice esta información pueda realizar los análisis </w:t>
      </w:r>
      <w:r w:rsidR="00CB55F3" w:rsidRPr="00296E53">
        <w:rPr>
          <w:rFonts w:ascii="Century Gothic" w:hAnsi="Century Gothic"/>
          <w:sz w:val="19"/>
          <w:szCs w:val="19"/>
        </w:rPr>
        <w:t>que requiera</w:t>
      </w:r>
      <w:r w:rsidR="006625AA" w:rsidRPr="00296E53">
        <w:rPr>
          <w:rFonts w:ascii="Century Gothic" w:hAnsi="Century Gothic"/>
          <w:sz w:val="19"/>
          <w:szCs w:val="19"/>
        </w:rPr>
        <w:t xml:space="preserve">. </w:t>
      </w:r>
      <w:r w:rsidR="00237327" w:rsidRPr="00296E53">
        <w:rPr>
          <w:rFonts w:ascii="Century Gothic" w:hAnsi="Century Gothic"/>
          <w:sz w:val="19"/>
          <w:szCs w:val="19"/>
        </w:rPr>
        <w:t xml:space="preserve">Cabe señalar que los indicadores aprobados miden el uso de los programas de información de forma completa, sin embargo, un análisis más </w:t>
      </w:r>
      <w:r w:rsidR="00751C86" w:rsidRPr="00296E53">
        <w:rPr>
          <w:rFonts w:ascii="Century Gothic" w:hAnsi="Century Gothic"/>
          <w:sz w:val="19"/>
          <w:szCs w:val="19"/>
        </w:rPr>
        <w:t>detallado</w:t>
      </w:r>
      <w:r w:rsidR="00237327" w:rsidRPr="00296E53">
        <w:rPr>
          <w:rFonts w:ascii="Century Gothic" w:hAnsi="Century Gothic"/>
          <w:sz w:val="19"/>
          <w:szCs w:val="19"/>
        </w:rPr>
        <w:t xml:space="preserve"> requiere revisar el uso de las variables contenidas dentro de los programas de información.</w:t>
      </w:r>
    </w:p>
    <w:p w14:paraId="020A1DC6" w14:textId="77777777" w:rsidR="004C7825" w:rsidRPr="00296E53" w:rsidRDefault="004C7825" w:rsidP="00F1035E">
      <w:pPr>
        <w:spacing w:before="240"/>
        <w:jc w:val="both"/>
        <w:rPr>
          <w:rFonts w:ascii="Century Gothic" w:hAnsi="Century Gothic"/>
          <w:sz w:val="19"/>
          <w:szCs w:val="19"/>
        </w:rPr>
      </w:pPr>
      <w:r w:rsidRPr="00296E53">
        <w:rPr>
          <w:rFonts w:ascii="Century Gothic" w:hAnsi="Century Gothic"/>
          <w:sz w:val="19"/>
          <w:szCs w:val="19"/>
        </w:rPr>
        <w:t>Si bien en el Comité de Aseguramiento de la Calidad no se han aprobado indicadores de pertinencia para la medición de la cobertura de las necesidades,</w:t>
      </w:r>
      <w:r w:rsidR="00F4523C" w:rsidRPr="00296E53">
        <w:rPr>
          <w:rFonts w:ascii="Century Gothic" w:hAnsi="Century Gothic"/>
          <w:sz w:val="19"/>
          <w:szCs w:val="19"/>
        </w:rPr>
        <w:t xml:space="preserve"> en el Programa Estratégico del SNIEG 2016-2024 existen dos </w:t>
      </w:r>
      <w:r w:rsidR="00751C86" w:rsidRPr="00296E53">
        <w:rPr>
          <w:rFonts w:ascii="Century Gothic" w:hAnsi="Century Gothic"/>
          <w:sz w:val="19"/>
          <w:szCs w:val="19"/>
        </w:rPr>
        <w:t xml:space="preserve">indicadores </w:t>
      </w:r>
      <w:r w:rsidR="00F4523C" w:rsidRPr="00296E53">
        <w:rPr>
          <w:rFonts w:ascii="Century Gothic" w:hAnsi="Century Gothic"/>
          <w:sz w:val="19"/>
          <w:szCs w:val="19"/>
        </w:rPr>
        <w:t xml:space="preserve">con este enfoque que podrán servir como </w:t>
      </w:r>
      <w:r w:rsidR="00751C86" w:rsidRPr="00296E53">
        <w:rPr>
          <w:rFonts w:ascii="Century Gothic" w:hAnsi="Century Gothic"/>
          <w:sz w:val="19"/>
          <w:szCs w:val="19"/>
        </w:rPr>
        <w:t>referencia</w:t>
      </w:r>
      <w:r w:rsidR="00F4523C" w:rsidRPr="00296E53">
        <w:rPr>
          <w:rFonts w:ascii="Century Gothic" w:hAnsi="Century Gothic"/>
          <w:sz w:val="19"/>
          <w:szCs w:val="19"/>
        </w:rPr>
        <w:t xml:space="preserve"> en la discusión de 2020 para complementar los indicadores faltantes.  </w:t>
      </w:r>
    </w:p>
    <w:p w14:paraId="5924E21D" w14:textId="77777777" w:rsidR="00FD0B66" w:rsidRPr="00296E53" w:rsidRDefault="00FD0B66" w:rsidP="00F1035E">
      <w:pPr>
        <w:spacing w:before="240"/>
        <w:jc w:val="both"/>
        <w:rPr>
          <w:rFonts w:ascii="Century Gothic" w:hAnsi="Century Gothic"/>
          <w:sz w:val="19"/>
          <w:szCs w:val="19"/>
        </w:rPr>
      </w:pPr>
    </w:p>
    <w:p w14:paraId="770345D0" w14:textId="77777777" w:rsidR="00E9554C" w:rsidRPr="00296E53" w:rsidRDefault="00E9554C" w:rsidP="00401CF8">
      <w:pPr>
        <w:spacing w:after="0"/>
        <w:jc w:val="center"/>
        <w:rPr>
          <w:rFonts w:ascii="Century Gothic" w:hAnsi="Century Gothic"/>
          <w:b/>
          <w:sz w:val="19"/>
          <w:szCs w:val="19"/>
        </w:rPr>
      </w:pPr>
      <w:r w:rsidRPr="00296E53">
        <w:rPr>
          <w:rFonts w:ascii="Century Gothic" w:hAnsi="Century Gothic"/>
          <w:b/>
          <w:sz w:val="19"/>
          <w:szCs w:val="19"/>
        </w:rPr>
        <w:t>A.1.4</w:t>
      </w:r>
      <w:r w:rsidR="00E07324" w:rsidRPr="00296E53">
        <w:rPr>
          <w:rFonts w:ascii="Century Gothic" w:hAnsi="Century Gothic"/>
          <w:b/>
          <w:sz w:val="19"/>
          <w:szCs w:val="19"/>
        </w:rPr>
        <w:t>.  Indicadores de pertinencia del PESNIEG</w:t>
      </w:r>
    </w:p>
    <w:p w14:paraId="539A34E5" w14:textId="77777777" w:rsidR="004C7825" w:rsidRPr="00296E53" w:rsidRDefault="004C7825" w:rsidP="00714434">
      <w:pPr>
        <w:spacing w:before="120" w:after="0"/>
        <w:jc w:val="center"/>
        <w:rPr>
          <w:rFonts w:ascii="Century Gothic" w:hAnsi="Century Gothic"/>
          <w:sz w:val="19"/>
          <w:szCs w:val="19"/>
        </w:rPr>
      </w:pPr>
      <w:r w:rsidRPr="00296E53">
        <w:rPr>
          <w:noProof/>
          <w:lang w:eastAsia="es-MX"/>
        </w:rPr>
        <w:drawing>
          <wp:inline distT="0" distB="0" distL="0" distR="0" wp14:anchorId="5A46D282" wp14:editId="6A06A1C3">
            <wp:extent cx="4956136" cy="1062111"/>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6190" cy="1066409"/>
                    </a:xfrm>
                    <a:prstGeom prst="rect">
                      <a:avLst/>
                    </a:prstGeom>
                    <a:noFill/>
                    <a:ln>
                      <a:noFill/>
                    </a:ln>
                  </pic:spPr>
                </pic:pic>
              </a:graphicData>
            </a:graphic>
          </wp:inline>
        </w:drawing>
      </w:r>
    </w:p>
    <w:p w14:paraId="5DEC2A9A" w14:textId="77777777" w:rsidR="002B7E31" w:rsidRPr="00296E53" w:rsidRDefault="002B7E31" w:rsidP="00764A82">
      <w:pPr>
        <w:spacing w:after="0"/>
        <w:ind w:left="1418" w:right="1440"/>
        <w:rPr>
          <w:rFonts w:ascii="Century Gothic" w:hAnsi="Century Gothic"/>
          <w:sz w:val="14"/>
          <w:szCs w:val="16"/>
        </w:rPr>
      </w:pPr>
      <w:r w:rsidRPr="00296E53">
        <w:rPr>
          <w:rFonts w:ascii="Century Gothic" w:hAnsi="Century Gothic"/>
          <w:sz w:val="14"/>
          <w:szCs w:val="16"/>
        </w:rPr>
        <w:t xml:space="preserve">*Los indicadores que permiten medir la evolución del desarrollo nacional se obtuvieron a partir </w:t>
      </w:r>
      <w:r w:rsidR="00161F82" w:rsidRPr="00296E53">
        <w:rPr>
          <w:rFonts w:ascii="Century Gothic" w:hAnsi="Century Gothic"/>
          <w:sz w:val="14"/>
          <w:szCs w:val="16"/>
        </w:rPr>
        <w:t xml:space="preserve">de los programas derivados </w:t>
      </w:r>
      <w:r w:rsidRPr="00296E53">
        <w:rPr>
          <w:rFonts w:ascii="Century Gothic" w:hAnsi="Century Gothic"/>
          <w:sz w:val="14"/>
          <w:szCs w:val="16"/>
        </w:rPr>
        <w:t xml:space="preserve">del Plan Nacional de </w:t>
      </w:r>
      <w:r w:rsidR="00161F82" w:rsidRPr="00296E53">
        <w:rPr>
          <w:rFonts w:ascii="Century Gothic" w:hAnsi="Century Gothic"/>
          <w:sz w:val="14"/>
          <w:szCs w:val="16"/>
        </w:rPr>
        <w:t xml:space="preserve">Desarrollo </w:t>
      </w:r>
      <w:r w:rsidRPr="00296E53">
        <w:rPr>
          <w:rFonts w:ascii="Century Gothic" w:hAnsi="Century Gothic"/>
          <w:sz w:val="14"/>
          <w:szCs w:val="16"/>
        </w:rPr>
        <w:t>2013-2018</w:t>
      </w:r>
      <w:r w:rsidR="00161F82" w:rsidRPr="00296E53">
        <w:rPr>
          <w:rFonts w:ascii="Century Gothic" w:hAnsi="Century Gothic"/>
          <w:sz w:val="14"/>
          <w:szCs w:val="16"/>
        </w:rPr>
        <w:t>.</w:t>
      </w:r>
    </w:p>
    <w:p w14:paraId="482B47FC" w14:textId="77777777" w:rsidR="00FD0B66" w:rsidRPr="00296E53" w:rsidRDefault="00FD0B66" w:rsidP="00764A82">
      <w:pPr>
        <w:spacing w:before="120"/>
        <w:jc w:val="both"/>
        <w:rPr>
          <w:rFonts w:ascii="Century Gothic" w:hAnsi="Century Gothic"/>
          <w:sz w:val="19"/>
          <w:szCs w:val="19"/>
        </w:rPr>
      </w:pPr>
    </w:p>
    <w:p w14:paraId="3F7579EB" w14:textId="0EBBEF95" w:rsidR="006625AA" w:rsidRPr="00296E53" w:rsidRDefault="009D7511" w:rsidP="00764A82">
      <w:pPr>
        <w:spacing w:before="120"/>
        <w:jc w:val="both"/>
        <w:rPr>
          <w:rFonts w:ascii="Century Gothic" w:hAnsi="Century Gothic"/>
          <w:sz w:val="19"/>
          <w:szCs w:val="19"/>
        </w:rPr>
      </w:pPr>
      <w:r w:rsidRPr="00296E53">
        <w:rPr>
          <w:rFonts w:ascii="Century Gothic" w:hAnsi="Century Gothic"/>
          <w:sz w:val="19"/>
          <w:szCs w:val="19"/>
        </w:rPr>
        <w:t>En el siguiente cuadro se presenta la estimación de estos indicadores</w:t>
      </w:r>
      <w:r w:rsidR="00995FDA" w:rsidRPr="00296E53">
        <w:rPr>
          <w:rFonts w:ascii="Century Gothic" w:hAnsi="Century Gothic"/>
          <w:sz w:val="19"/>
          <w:szCs w:val="19"/>
        </w:rPr>
        <w:t>, tanto la realizada en febrero de 2020 como la realizada en diciembre 2020</w:t>
      </w:r>
      <w:r w:rsidR="00FA7A28" w:rsidRPr="00296E53">
        <w:rPr>
          <w:rFonts w:ascii="Century Gothic" w:hAnsi="Century Gothic"/>
          <w:sz w:val="19"/>
          <w:szCs w:val="19"/>
        </w:rPr>
        <w:t>.</w:t>
      </w:r>
      <w:r w:rsidR="005A526D" w:rsidRPr="00296E53">
        <w:rPr>
          <w:rFonts w:ascii="Century Gothic" w:hAnsi="Century Gothic"/>
          <w:sz w:val="19"/>
          <w:szCs w:val="19"/>
        </w:rPr>
        <w:t xml:space="preserve"> Cabe señalar que el cálculo de diciembre 2020 considera los programas de información que se utilizaron en el P-Tracking, que son menos que los del cálculo de febrero. </w:t>
      </w:r>
      <w:r w:rsidR="007E600F" w:rsidRPr="00296E53">
        <w:rPr>
          <w:rFonts w:ascii="Century Gothic" w:hAnsi="Century Gothic"/>
          <w:sz w:val="19"/>
          <w:szCs w:val="19"/>
        </w:rPr>
        <w:t xml:space="preserve">Por otro lado, </w:t>
      </w:r>
      <w:r w:rsidR="008D6327" w:rsidRPr="00296E53">
        <w:rPr>
          <w:rFonts w:ascii="Century Gothic" w:hAnsi="Century Gothic"/>
          <w:sz w:val="19"/>
          <w:szCs w:val="19"/>
        </w:rPr>
        <w:t>en 2020 se publicaron 118 Programas que se derivan del Plan Nacional de Desarrollo, de los cuales 31 utilizaron indicadores medidos a través de información estadística y geográfica del INEGI</w:t>
      </w:r>
      <w:r w:rsidR="007E600F" w:rsidRPr="00296E53">
        <w:rPr>
          <w:rFonts w:ascii="Century Gothic" w:hAnsi="Century Gothic"/>
          <w:sz w:val="19"/>
          <w:szCs w:val="19"/>
        </w:rPr>
        <w:t>, con lo cual se observa que 3</w:t>
      </w:r>
      <w:r w:rsidR="008D6327" w:rsidRPr="00296E53">
        <w:rPr>
          <w:rFonts w:ascii="Century Gothic" w:hAnsi="Century Gothic"/>
          <w:sz w:val="19"/>
          <w:szCs w:val="19"/>
        </w:rPr>
        <w:t>4</w:t>
      </w:r>
      <w:r w:rsidR="007E600F" w:rsidRPr="00296E53">
        <w:rPr>
          <w:rFonts w:ascii="Century Gothic" w:hAnsi="Century Gothic"/>
          <w:sz w:val="19"/>
          <w:szCs w:val="19"/>
        </w:rPr>
        <w:t>.</w:t>
      </w:r>
      <w:r w:rsidR="008D6327" w:rsidRPr="00296E53">
        <w:rPr>
          <w:rFonts w:ascii="Century Gothic" w:hAnsi="Century Gothic"/>
          <w:sz w:val="19"/>
          <w:szCs w:val="19"/>
        </w:rPr>
        <w:t>8</w:t>
      </w:r>
      <w:r w:rsidR="007E600F" w:rsidRPr="00296E53">
        <w:rPr>
          <w:rFonts w:ascii="Century Gothic" w:hAnsi="Century Gothic"/>
          <w:sz w:val="19"/>
          <w:szCs w:val="19"/>
        </w:rPr>
        <w:t>% de los programas de información estadística y geográfica se utilizan para el cálculo de los indicadores para la planeación nacional.  El porcentaje de programas de información que atienden disposiciones en tratados internacionales aumentó debido a que se profundizó el análisis de la atención de este tipo de disposiciones.</w:t>
      </w:r>
      <w:r w:rsidR="00A10278">
        <w:rPr>
          <w:rFonts w:ascii="Century Gothic" w:hAnsi="Century Gothic"/>
          <w:sz w:val="19"/>
          <w:szCs w:val="19"/>
        </w:rPr>
        <w:t xml:space="preserve"> </w:t>
      </w:r>
      <w:r w:rsidR="00BB5A5C" w:rsidRPr="00296E53">
        <w:rPr>
          <w:rFonts w:ascii="Century Gothic" w:hAnsi="Century Gothic"/>
          <w:sz w:val="19"/>
          <w:szCs w:val="19"/>
        </w:rPr>
        <w:t xml:space="preserve">También llama la atención el aumento del uso de programas de información en el cálculo de los ODS, lo cual muestra los esfuerzos realizados </w:t>
      </w:r>
      <w:r w:rsidR="002C7385" w:rsidRPr="00296E53">
        <w:rPr>
          <w:rFonts w:ascii="Century Gothic" w:hAnsi="Century Gothic"/>
          <w:sz w:val="19"/>
          <w:szCs w:val="19"/>
        </w:rPr>
        <w:t xml:space="preserve">en la </w:t>
      </w:r>
      <w:r w:rsidR="00BB5A5C" w:rsidRPr="00296E53">
        <w:rPr>
          <w:rFonts w:ascii="Century Gothic" w:hAnsi="Century Gothic"/>
          <w:sz w:val="19"/>
          <w:szCs w:val="19"/>
        </w:rPr>
        <w:t>medición de estos indicadores</w:t>
      </w:r>
      <w:r w:rsidR="007E600F" w:rsidRPr="00296E53">
        <w:rPr>
          <w:rFonts w:ascii="Century Gothic" w:hAnsi="Century Gothic"/>
          <w:sz w:val="19"/>
          <w:szCs w:val="19"/>
        </w:rPr>
        <w:t xml:space="preserve"> (ver cuadro A.1</w:t>
      </w:r>
      <w:r w:rsidR="009C6E6D" w:rsidRPr="00296E53">
        <w:rPr>
          <w:rFonts w:ascii="Century Gothic" w:hAnsi="Century Gothic"/>
          <w:sz w:val="19"/>
          <w:szCs w:val="19"/>
        </w:rPr>
        <w:t>.5)</w:t>
      </w:r>
    </w:p>
    <w:p w14:paraId="18D31161" w14:textId="77777777" w:rsidR="00FD0B66" w:rsidRPr="00296E53" w:rsidRDefault="00FD0B66">
      <w:pPr>
        <w:rPr>
          <w:rFonts w:ascii="Century Gothic" w:hAnsi="Century Gothic"/>
          <w:sz w:val="19"/>
          <w:szCs w:val="19"/>
        </w:rPr>
      </w:pPr>
      <w:r w:rsidRPr="00296E53">
        <w:rPr>
          <w:rFonts w:ascii="Century Gothic" w:hAnsi="Century Gothic"/>
          <w:sz w:val="19"/>
          <w:szCs w:val="19"/>
        </w:rPr>
        <w:br w:type="page"/>
      </w:r>
    </w:p>
    <w:p w14:paraId="744E6404" w14:textId="77777777" w:rsidR="00FD0B66" w:rsidRPr="00296E53" w:rsidRDefault="00FD0B66" w:rsidP="00764A82">
      <w:pPr>
        <w:spacing w:before="120"/>
        <w:jc w:val="both"/>
        <w:rPr>
          <w:rFonts w:ascii="Century Gothic" w:hAnsi="Century Gothic"/>
          <w:sz w:val="19"/>
          <w:szCs w:val="19"/>
        </w:rPr>
      </w:pPr>
    </w:p>
    <w:p w14:paraId="7E5FECFA" w14:textId="4470C63A" w:rsidR="00FA7A28" w:rsidRPr="00296E53" w:rsidRDefault="00FA7A28" w:rsidP="00401CF8">
      <w:pPr>
        <w:spacing w:after="0"/>
        <w:jc w:val="center"/>
        <w:rPr>
          <w:rFonts w:ascii="Century Gothic" w:hAnsi="Century Gothic"/>
          <w:b/>
          <w:sz w:val="17"/>
          <w:szCs w:val="17"/>
        </w:rPr>
      </w:pPr>
      <w:r w:rsidRPr="00296E53">
        <w:rPr>
          <w:rFonts w:ascii="Century Gothic" w:hAnsi="Century Gothic"/>
          <w:b/>
          <w:sz w:val="17"/>
          <w:szCs w:val="17"/>
        </w:rPr>
        <w:t>A.1.</w:t>
      </w:r>
      <w:r w:rsidR="00E9554C" w:rsidRPr="00296E53">
        <w:rPr>
          <w:rFonts w:ascii="Century Gothic" w:hAnsi="Century Gothic"/>
          <w:b/>
          <w:sz w:val="17"/>
          <w:szCs w:val="17"/>
        </w:rPr>
        <w:t>5</w:t>
      </w:r>
      <w:r w:rsidR="00E07324" w:rsidRPr="00296E53">
        <w:rPr>
          <w:rFonts w:ascii="Century Gothic" w:hAnsi="Century Gothic"/>
          <w:b/>
          <w:sz w:val="17"/>
          <w:szCs w:val="17"/>
        </w:rPr>
        <w:t xml:space="preserve">.  Estimación preliminar de los indicadores de pertinencia aprobados </w:t>
      </w:r>
    </w:p>
    <w:p w14:paraId="35717EE8" w14:textId="77777777" w:rsidR="0018255F" w:rsidRPr="00296E53" w:rsidRDefault="0018255F" w:rsidP="00401CF8">
      <w:pPr>
        <w:spacing w:after="0"/>
        <w:jc w:val="center"/>
        <w:rPr>
          <w:rFonts w:ascii="Century Gothic" w:hAnsi="Century Gothic"/>
          <w:bCs/>
          <w:sz w:val="17"/>
          <w:szCs w:val="17"/>
        </w:rPr>
      </w:pPr>
    </w:p>
    <w:tbl>
      <w:tblPr>
        <w:tblW w:w="12758" w:type="dxa"/>
        <w:jc w:val="center"/>
        <w:tblCellMar>
          <w:left w:w="0" w:type="dxa"/>
          <w:right w:w="0" w:type="dxa"/>
        </w:tblCellMar>
        <w:tblLook w:val="0420" w:firstRow="1" w:lastRow="0" w:firstColumn="0" w:lastColumn="0" w:noHBand="0" w:noVBand="1"/>
      </w:tblPr>
      <w:tblGrid>
        <w:gridCol w:w="460"/>
        <w:gridCol w:w="1800"/>
        <w:gridCol w:w="7946"/>
        <w:gridCol w:w="1276"/>
        <w:gridCol w:w="1276"/>
      </w:tblGrid>
      <w:tr w:rsidR="0018255F" w:rsidRPr="00296E53" w14:paraId="0D20030A" w14:textId="77777777" w:rsidTr="0018255F">
        <w:trPr>
          <w:trHeight w:val="20"/>
          <w:jc w:val="center"/>
        </w:trPr>
        <w:tc>
          <w:tcPr>
            <w:tcW w:w="2260" w:type="dxa"/>
            <w:gridSpan w:val="2"/>
            <w:tcBorders>
              <w:top w:val="nil"/>
              <w:left w:val="nil"/>
              <w:bottom w:val="nil"/>
              <w:right w:val="single" w:sz="12" w:space="0" w:color="FFFFFF"/>
            </w:tcBorders>
            <w:shd w:val="clear" w:color="auto" w:fill="006FC0"/>
            <w:tcMar>
              <w:top w:w="3" w:type="dxa"/>
              <w:left w:w="15" w:type="dxa"/>
              <w:bottom w:w="0" w:type="dxa"/>
              <w:right w:w="15" w:type="dxa"/>
            </w:tcMar>
            <w:vAlign w:val="center"/>
            <w:hideMark/>
          </w:tcPr>
          <w:p w14:paraId="44DE3EDB" w14:textId="77777777" w:rsidR="0018255F" w:rsidRPr="00296E53" w:rsidRDefault="0018255F" w:rsidP="0018255F">
            <w:pPr>
              <w:spacing w:after="0"/>
              <w:jc w:val="center"/>
              <w:rPr>
                <w:rFonts w:ascii="Century Gothic" w:hAnsi="Century Gothic"/>
                <w:bCs/>
                <w:color w:val="FFFFFF" w:themeColor="background1"/>
                <w:sz w:val="17"/>
                <w:szCs w:val="17"/>
                <w:lang w:val="en-US"/>
              </w:rPr>
            </w:pPr>
            <w:r w:rsidRPr="00296E53">
              <w:rPr>
                <w:rFonts w:ascii="Century Gothic" w:hAnsi="Century Gothic"/>
                <w:bCs/>
                <w:color w:val="FFFFFF" w:themeColor="background1"/>
                <w:sz w:val="17"/>
                <w:szCs w:val="17"/>
                <w:lang w:val="en-US"/>
              </w:rPr>
              <w:t xml:space="preserve">Tipo de </w:t>
            </w:r>
            <w:proofErr w:type="spellStart"/>
            <w:r w:rsidRPr="00296E53">
              <w:rPr>
                <w:rFonts w:ascii="Century Gothic" w:hAnsi="Century Gothic"/>
                <w:bCs/>
                <w:color w:val="FFFFFF" w:themeColor="background1"/>
                <w:sz w:val="17"/>
                <w:szCs w:val="17"/>
                <w:lang w:val="en-US"/>
              </w:rPr>
              <w:t>uso</w:t>
            </w:r>
            <w:proofErr w:type="spellEnd"/>
          </w:p>
        </w:tc>
        <w:tc>
          <w:tcPr>
            <w:tcW w:w="7946" w:type="dxa"/>
            <w:tcBorders>
              <w:top w:val="nil"/>
              <w:left w:val="single" w:sz="12" w:space="0" w:color="FFFFFF"/>
              <w:bottom w:val="nil"/>
              <w:right w:val="single" w:sz="12" w:space="0" w:color="FFFFFF"/>
            </w:tcBorders>
            <w:shd w:val="clear" w:color="auto" w:fill="006FC0"/>
            <w:tcMar>
              <w:top w:w="3" w:type="dxa"/>
              <w:left w:w="15" w:type="dxa"/>
              <w:bottom w:w="0" w:type="dxa"/>
              <w:right w:w="15" w:type="dxa"/>
            </w:tcMar>
            <w:vAlign w:val="center"/>
            <w:hideMark/>
          </w:tcPr>
          <w:p w14:paraId="1D1E3D63" w14:textId="77777777" w:rsidR="0018255F" w:rsidRPr="00296E53" w:rsidRDefault="0018255F" w:rsidP="0018255F">
            <w:pPr>
              <w:spacing w:after="0"/>
              <w:jc w:val="center"/>
              <w:rPr>
                <w:rFonts w:ascii="Century Gothic" w:hAnsi="Century Gothic"/>
                <w:bCs/>
                <w:color w:val="FFFFFF" w:themeColor="background1"/>
                <w:sz w:val="17"/>
                <w:szCs w:val="17"/>
                <w:lang w:val="en-US"/>
              </w:rPr>
            </w:pPr>
            <w:proofErr w:type="spellStart"/>
            <w:r w:rsidRPr="00296E53">
              <w:rPr>
                <w:rFonts w:ascii="Century Gothic" w:hAnsi="Century Gothic"/>
                <w:bCs/>
                <w:color w:val="FFFFFF" w:themeColor="background1"/>
                <w:sz w:val="17"/>
                <w:szCs w:val="17"/>
                <w:lang w:val="en-US"/>
              </w:rPr>
              <w:t>Indicadores</w:t>
            </w:r>
            <w:proofErr w:type="spellEnd"/>
            <w:r w:rsidRPr="00296E53">
              <w:rPr>
                <w:rFonts w:ascii="Century Gothic" w:hAnsi="Century Gothic"/>
                <w:bCs/>
                <w:color w:val="FFFFFF" w:themeColor="background1"/>
                <w:sz w:val="17"/>
                <w:szCs w:val="17"/>
                <w:lang w:val="en-US"/>
              </w:rPr>
              <w:t xml:space="preserve"> de </w:t>
            </w:r>
            <w:proofErr w:type="spellStart"/>
            <w:r w:rsidRPr="00296E53">
              <w:rPr>
                <w:rFonts w:ascii="Century Gothic" w:hAnsi="Century Gothic"/>
                <w:bCs/>
                <w:color w:val="FFFFFF" w:themeColor="background1"/>
                <w:sz w:val="17"/>
                <w:szCs w:val="17"/>
                <w:lang w:val="en-US"/>
              </w:rPr>
              <w:t>pertinencia</w:t>
            </w:r>
            <w:proofErr w:type="spellEnd"/>
          </w:p>
        </w:tc>
        <w:tc>
          <w:tcPr>
            <w:tcW w:w="1276" w:type="dxa"/>
            <w:tcBorders>
              <w:top w:val="nil"/>
              <w:left w:val="single" w:sz="12" w:space="0" w:color="FFFFFF"/>
              <w:bottom w:val="nil"/>
              <w:right w:val="single" w:sz="12" w:space="0" w:color="FFFFFF"/>
            </w:tcBorders>
            <w:shd w:val="clear" w:color="auto" w:fill="006FC0"/>
            <w:tcMar>
              <w:top w:w="49" w:type="dxa"/>
              <w:left w:w="15" w:type="dxa"/>
              <w:bottom w:w="0" w:type="dxa"/>
              <w:right w:w="15" w:type="dxa"/>
            </w:tcMar>
            <w:vAlign w:val="center"/>
            <w:hideMark/>
          </w:tcPr>
          <w:p w14:paraId="2C25D309" w14:textId="68A11CD2" w:rsidR="0018255F" w:rsidRPr="00296E53" w:rsidRDefault="00051413" w:rsidP="0018255F">
            <w:pPr>
              <w:spacing w:after="0"/>
              <w:jc w:val="center"/>
              <w:rPr>
                <w:rFonts w:ascii="Century Gothic" w:hAnsi="Century Gothic"/>
                <w:bCs/>
                <w:color w:val="FFFFFF" w:themeColor="background1"/>
                <w:sz w:val="17"/>
                <w:szCs w:val="17"/>
                <w:lang w:val="en-US"/>
              </w:rPr>
            </w:pPr>
            <w:r>
              <w:rPr>
                <w:rFonts w:ascii="Century Gothic" w:hAnsi="Century Gothic"/>
                <w:bCs/>
                <w:color w:val="FFFFFF" w:themeColor="background1"/>
                <w:sz w:val="17"/>
                <w:szCs w:val="17"/>
                <w:lang w:val="es-ES"/>
              </w:rPr>
              <w:t>Informe</w:t>
            </w:r>
            <w:r w:rsidR="0018255F" w:rsidRPr="00296E53">
              <w:rPr>
                <w:rFonts w:ascii="Century Gothic" w:hAnsi="Century Gothic"/>
                <w:bCs/>
                <w:color w:val="FFFFFF" w:themeColor="background1"/>
                <w:sz w:val="17"/>
                <w:szCs w:val="17"/>
                <w:lang w:val="es-ES"/>
              </w:rPr>
              <w:t xml:space="preserve"> </w:t>
            </w:r>
            <w:r w:rsidR="0018255F" w:rsidRPr="00296E53">
              <w:rPr>
                <w:rFonts w:ascii="Century Gothic" w:hAnsi="Century Gothic"/>
                <w:bCs/>
                <w:color w:val="FFFFFF" w:themeColor="background1"/>
                <w:sz w:val="17"/>
                <w:szCs w:val="17"/>
                <w:lang w:val="es-ES"/>
              </w:rPr>
              <w:br/>
              <w:t>20</w:t>
            </w:r>
            <w:r>
              <w:rPr>
                <w:rFonts w:ascii="Century Gothic" w:hAnsi="Century Gothic"/>
                <w:bCs/>
                <w:color w:val="FFFFFF" w:themeColor="background1"/>
                <w:sz w:val="17"/>
                <w:szCs w:val="17"/>
                <w:lang w:val="es-ES"/>
              </w:rPr>
              <w:t>19</w:t>
            </w:r>
          </w:p>
        </w:tc>
        <w:tc>
          <w:tcPr>
            <w:tcW w:w="1276" w:type="dxa"/>
            <w:tcBorders>
              <w:top w:val="nil"/>
              <w:left w:val="single" w:sz="12" w:space="0" w:color="FFFFFF"/>
              <w:bottom w:val="nil"/>
              <w:right w:val="single" w:sz="12" w:space="0" w:color="FFFFFF"/>
            </w:tcBorders>
            <w:shd w:val="clear" w:color="auto" w:fill="006FC0"/>
            <w:tcMar>
              <w:top w:w="49" w:type="dxa"/>
              <w:left w:w="15" w:type="dxa"/>
              <w:bottom w:w="0" w:type="dxa"/>
              <w:right w:w="15" w:type="dxa"/>
            </w:tcMar>
            <w:vAlign w:val="center"/>
            <w:hideMark/>
          </w:tcPr>
          <w:p w14:paraId="421DD277" w14:textId="77777777" w:rsidR="0018255F" w:rsidRPr="00296E53" w:rsidRDefault="0018255F" w:rsidP="0018255F">
            <w:pPr>
              <w:spacing w:after="0"/>
              <w:jc w:val="center"/>
              <w:rPr>
                <w:rFonts w:ascii="Century Gothic" w:hAnsi="Century Gothic"/>
                <w:bCs/>
                <w:color w:val="FFFFFF" w:themeColor="background1"/>
                <w:sz w:val="17"/>
                <w:szCs w:val="17"/>
                <w:lang w:val="en-US"/>
              </w:rPr>
            </w:pPr>
            <w:r w:rsidRPr="00296E53">
              <w:rPr>
                <w:rFonts w:ascii="Century Gothic" w:hAnsi="Century Gothic"/>
                <w:bCs/>
                <w:color w:val="FFFFFF" w:themeColor="background1"/>
                <w:sz w:val="17"/>
                <w:szCs w:val="17"/>
              </w:rPr>
              <w:t>Diciembre</w:t>
            </w:r>
            <w:r w:rsidRPr="00296E53">
              <w:rPr>
                <w:rFonts w:ascii="Century Gothic" w:hAnsi="Century Gothic"/>
                <w:bCs/>
                <w:color w:val="FFFFFF" w:themeColor="background1"/>
                <w:sz w:val="17"/>
                <w:szCs w:val="17"/>
              </w:rPr>
              <w:br/>
              <w:t>2020</w:t>
            </w:r>
          </w:p>
        </w:tc>
      </w:tr>
      <w:tr w:rsidR="0018255F" w:rsidRPr="00296E53" w14:paraId="1E72CF8D" w14:textId="77777777" w:rsidTr="0018255F">
        <w:trPr>
          <w:trHeight w:val="20"/>
          <w:jc w:val="center"/>
        </w:trPr>
        <w:tc>
          <w:tcPr>
            <w:tcW w:w="460" w:type="dxa"/>
            <w:vMerge w:val="restart"/>
            <w:tcBorders>
              <w:top w:val="nil"/>
              <w:left w:val="nil"/>
              <w:bottom w:val="nil"/>
              <w:right w:val="single" w:sz="12" w:space="0" w:color="FFFFFF"/>
            </w:tcBorders>
            <w:shd w:val="clear" w:color="auto" w:fill="D9D9D9"/>
            <w:tcMar>
              <w:top w:w="64" w:type="dxa"/>
              <w:left w:w="15" w:type="dxa"/>
              <w:bottom w:w="0" w:type="dxa"/>
              <w:right w:w="15" w:type="dxa"/>
            </w:tcMar>
            <w:textDirection w:val="btLr"/>
            <w:vAlign w:val="center"/>
            <w:hideMark/>
          </w:tcPr>
          <w:p w14:paraId="20214803" w14:textId="77777777" w:rsidR="0018255F" w:rsidRPr="00296E53" w:rsidRDefault="0018255F" w:rsidP="0018255F">
            <w:pPr>
              <w:spacing w:after="0"/>
              <w:jc w:val="center"/>
              <w:rPr>
                <w:rFonts w:ascii="Century Gothic" w:hAnsi="Century Gothic"/>
                <w:bCs/>
                <w:sz w:val="17"/>
                <w:szCs w:val="17"/>
                <w:lang w:val="en-US"/>
              </w:rPr>
            </w:pPr>
            <w:proofErr w:type="spellStart"/>
            <w:r w:rsidRPr="00296E53">
              <w:rPr>
                <w:rFonts w:ascii="Century Gothic" w:hAnsi="Century Gothic"/>
                <w:bCs/>
                <w:sz w:val="17"/>
                <w:szCs w:val="17"/>
                <w:lang w:val="en-US"/>
              </w:rPr>
              <w:t>Interno</w:t>
            </w:r>
            <w:proofErr w:type="spellEnd"/>
          </w:p>
        </w:tc>
        <w:tc>
          <w:tcPr>
            <w:tcW w:w="1800" w:type="dxa"/>
            <w:vMerge w:val="restart"/>
            <w:tcBorders>
              <w:top w:val="nil"/>
              <w:left w:val="single" w:sz="12" w:space="0" w:color="FFFFFF"/>
              <w:bottom w:val="single" w:sz="12" w:space="0" w:color="FFFFFF"/>
              <w:right w:val="single" w:sz="12" w:space="0" w:color="FFFFFF"/>
            </w:tcBorders>
            <w:shd w:val="clear" w:color="auto" w:fill="D9D9D9"/>
            <w:tcMar>
              <w:top w:w="49" w:type="dxa"/>
              <w:left w:w="15" w:type="dxa"/>
              <w:bottom w:w="0" w:type="dxa"/>
              <w:right w:w="15" w:type="dxa"/>
            </w:tcMar>
            <w:vAlign w:val="center"/>
            <w:hideMark/>
          </w:tcPr>
          <w:p w14:paraId="37D46977"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Insumo de </w:t>
            </w:r>
            <w:proofErr w:type="gramStart"/>
            <w:r w:rsidRPr="00296E53">
              <w:rPr>
                <w:rFonts w:ascii="Century Gothic" w:hAnsi="Century Gothic"/>
                <w:bCs/>
                <w:sz w:val="17"/>
                <w:szCs w:val="17"/>
              </w:rPr>
              <w:t>otros  programas</w:t>
            </w:r>
            <w:proofErr w:type="gramEnd"/>
            <w:r w:rsidRPr="00296E53">
              <w:rPr>
                <w:rFonts w:ascii="Century Gothic" w:hAnsi="Century Gothic"/>
                <w:bCs/>
                <w:sz w:val="17"/>
                <w:szCs w:val="17"/>
              </w:rPr>
              <w:t xml:space="preserve">  del INEGI</w:t>
            </w:r>
          </w:p>
        </w:tc>
        <w:tc>
          <w:tcPr>
            <w:tcW w:w="7946" w:type="dxa"/>
            <w:tcBorders>
              <w:top w:val="nil"/>
              <w:left w:val="single" w:sz="12" w:space="0" w:color="FFFFFF"/>
              <w:bottom w:val="single" w:sz="12" w:space="0" w:color="FFFFFF"/>
              <w:right w:val="single" w:sz="12" w:space="0" w:color="FFFFFF"/>
            </w:tcBorders>
            <w:shd w:val="clear" w:color="auto" w:fill="D9D9D9"/>
            <w:tcMar>
              <w:top w:w="49" w:type="dxa"/>
              <w:left w:w="15" w:type="dxa"/>
              <w:bottom w:w="0" w:type="dxa"/>
              <w:right w:w="15" w:type="dxa"/>
            </w:tcMar>
            <w:vAlign w:val="center"/>
            <w:hideMark/>
          </w:tcPr>
          <w:p w14:paraId="6ADED3EB"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que se utilizan </w:t>
            </w:r>
            <w:r w:rsidRPr="00296E53">
              <w:rPr>
                <w:rFonts w:ascii="Century Gothic" w:hAnsi="Century Gothic"/>
                <w:bCs/>
                <w:sz w:val="17"/>
                <w:szCs w:val="17"/>
                <w:u w:val="single"/>
              </w:rPr>
              <w:t>solamente como insumos para otros programas del INEGI</w:t>
            </w:r>
            <w:r w:rsidRPr="00296E53">
              <w:rPr>
                <w:rFonts w:ascii="Century Gothic" w:hAnsi="Century Gothic"/>
                <w:bCs/>
                <w:sz w:val="17"/>
                <w:szCs w:val="17"/>
              </w:rPr>
              <w:t>.</w:t>
            </w:r>
          </w:p>
        </w:tc>
        <w:tc>
          <w:tcPr>
            <w:tcW w:w="1276" w:type="dxa"/>
            <w:tcBorders>
              <w:top w:val="nil"/>
              <w:left w:val="single" w:sz="12" w:space="0" w:color="FFFFFF"/>
              <w:bottom w:val="single" w:sz="12" w:space="0" w:color="FFFFFF"/>
              <w:right w:val="single" w:sz="12" w:space="0" w:color="FFFFFF"/>
            </w:tcBorders>
            <w:shd w:val="clear" w:color="auto" w:fill="D9D9D9"/>
            <w:tcMar>
              <w:top w:w="15" w:type="dxa"/>
              <w:left w:w="15" w:type="dxa"/>
              <w:bottom w:w="0" w:type="dxa"/>
              <w:right w:w="15" w:type="dxa"/>
            </w:tcMar>
            <w:vAlign w:val="center"/>
            <w:hideMark/>
          </w:tcPr>
          <w:p w14:paraId="0174C879"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0%</w:t>
            </w:r>
          </w:p>
        </w:tc>
        <w:tc>
          <w:tcPr>
            <w:tcW w:w="1276" w:type="dxa"/>
            <w:tcBorders>
              <w:top w:val="nil"/>
              <w:left w:val="single" w:sz="12" w:space="0" w:color="FFFFFF"/>
              <w:bottom w:val="single" w:sz="12" w:space="0" w:color="FFFFFF"/>
              <w:right w:val="single" w:sz="12" w:space="0" w:color="FFFFFF"/>
            </w:tcBorders>
            <w:shd w:val="clear" w:color="auto" w:fill="D9D9D9"/>
            <w:tcMar>
              <w:top w:w="15" w:type="dxa"/>
              <w:left w:w="15" w:type="dxa"/>
              <w:bottom w:w="0" w:type="dxa"/>
              <w:right w:w="15" w:type="dxa"/>
            </w:tcMar>
            <w:vAlign w:val="center"/>
            <w:hideMark/>
          </w:tcPr>
          <w:p w14:paraId="783B8539"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1.1%*</w:t>
            </w:r>
          </w:p>
        </w:tc>
      </w:tr>
      <w:tr w:rsidR="0018255F" w:rsidRPr="00296E53" w14:paraId="1CE9381C" w14:textId="77777777" w:rsidTr="0018255F">
        <w:trPr>
          <w:trHeight w:val="20"/>
          <w:jc w:val="center"/>
        </w:trPr>
        <w:tc>
          <w:tcPr>
            <w:tcW w:w="0" w:type="auto"/>
            <w:vMerge/>
            <w:tcBorders>
              <w:top w:val="nil"/>
              <w:left w:val="nil"/>
              <w:bottom w:val="nil"/>
              <w:right w:val="single" w:sz="12" w:space="0" w:color="FFFFFF"/>
            </w:tcBorders>
            <w:vAlign w:val="center"/>
            <w:hideMark/>
          </w:tcPr>
          <w:p w14:paraId="35910C32" w14:textId="77777777" w:rsidR="0018255F" w:rsidRPr="00296E53" w:rsidRDefault="0018255F" w:rsidP="0018255F">
            <w:pPr>
              <w:spacing w:after="0"/>
              <w:jc w:val="center"/>
              <w:rPr>
                <w:rFonts w:ascii="Century Gothic" w:hAnsi="Century Gothic"/>
                <w:bCs/>
                <w:sz w:val="17"/>
                <w:szCs w:val="17"/>
                <w:lang w:val="en-US"/>
              </w:rPr>
            </w:pPr>
          </w:p>
        </w:tc>
        <w:tc>
          <w:tcPr>
            <w:tcW w:w="0" w:type="auto"/>
            <w:vMerge/>
            <w:tcBorders>
              <w:top w:val="nil"/>
              <w:left w:val="single" w:sz="12" w:space="0" w:color="FFFFFF"/>
              <w:bottom w:val="single" w:sz="12" w:space="0" w:color="FFFFFF"/>
              <w:right w:val="single" w:sz="12" w:space="0" w:color="FFFFFF"/>
            </w:tcBorders>
            <w:vAlign w:val="center"/>
            <w:hideMark/>
          </w:tcPr>
          <w:p w14:paraId="188DA7F1" w14:textId="77777777" w:rsidR="0018255F" w:rsidRPr="00296E53"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D9D9D9"/>
            <w:tcMar>
              <w:top w:w="34" w:type="dxa"/>
              <w:left w:w="15" w:type="dxa"/>
              <w:bottom w:w="0" w:type="dxa"/>
              <w:right w:w="15" w:type="dxa"/>
            </w:tcMar>
            <w:vAlign w:val="center"/>
            <w:hideMark/>
          </w:tcPr>
          <w:p w14:paraId="0D7090DC"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que se utilizan como </w:t>
            </w:r>
            <w:r w:rsidRPr="00296E53">
              <w:rPr>
                <w:rFonts w:ascii="Century Gothic" w:hAnsi="Century Gothic"/>
                <w:bCs/>
                <w:sz w:val="17"/>
                <w:szCs w:val="17"/>
                <w:u w:val="single"/>
              </w:rPr>
              <w:t>insumo de otros programas y en algún otro referente</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D9D9D9"/>
            <w:tcMar>
              <w:top w:w="169" w:type="dxa"/>
              <w:left w:w="15" w:type="dxa"/>
              <w:bottom w:w="0" w:type="dxa"/>
              <w:right w:w="15" w:type="dxa"/>
            </w:tcMar>
            <w:vAlign w:val="center"/>
            <w:hideMark/>
          </w:tcPr>
          <w:p w14:paraId="32720643"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49.5%</w:t>
            </w:r>
          </w:p>
        </w:tc>
        <w:tc>
          <w:tcPr>
            <w:tcW w:w="1276" w:type="dxa"/>
            <w:tcBorders>
              <w:top w:val="single" w:sz="12" w:space="0" w:color="FFFFFF"/>
              <w:left w:val="single" w:sz="12" w:space="0" w:color="FFFFFF"/>
              <w:bottom w:val="single" w:sz="12" w:space="0" w:color="FFFFFF"/>
              <w:right w:val="single" w:sz="12" w:space="0" w:color="FFFFFF"/>
            </w:tcBorders>
            <w:shd w:val="clear" w:color="auto" w:fill="D9D9D9"/>
            <w:tcMar>
              <w:top w:w="169" w:type="dxa"/>
              <w:left w:w="15" w:type="dxa"/>
              <w:bottom w:w="0" w:type="dxa"/>
              <w:right w:w="15" w:type="dxa"/>
            </w:tcMar>
            <w:vAlign w:val="center"/>
            <w:hideMark/>
          </w:tcPr>
          <w:p w14:paraId="5B6716F9"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53.3%</w:t>
            </w:r>
          </w:p>
        </w:tc>
      </w:tr>
      <w:tr w:rsidR="0018255F" w:rsidRPr="00296E53" w14:paraId="60EC1842" w14:textId="77777777" w:rsidTr="0018255F">
        <w:trPr>
          <w:trHeight w:val="20"/>
          <w:jc w:val="center"/>
        </w:trPr>
        <w:tc>
          <w:tcPr>
            <w:tcW w:w="460" w:type="dxa"/>
            <w:vMerge w:val="restart"/>
            <w:tcBorders>
              <w:top w:val="nil"/>
              <w:left w:val="nil"/>
              <w:bottom w:val="single" w:sz="12" w:space="0" w:color="FFFFFF"/>
              <w:right w:val="single" w:sz="8" w:space="0" w:color="FFFFFF"/>
            </w:tcBorders>
            <w:shd w:val="clear" w:color="auto" w:fill="9FD5FF"/>
            <w:tcMar>
              <w:top w:w="15" w:type="dxa"/>
              <w:left w:w="15" w:type="dxa"/>
              <w:bottom w:w="0" w:type="dxa"/>
              <w:right w:w="15" w:type="dxa"/>
            </w:tcMar>
            <w:textDirection w:val="btLr"/>
            <w:vAlign w:val="center"/>
            <w:hideMark/>
          </w:tcPr>
          <w:p w14:paraId="3A1A41FF" w14:textId="77777777" w:rsidR="0018255F" w:rsidRPr="00296E53" w:rsidRDefault="0018255F" w:rsidP="0018255F">
            <w:pPr>
              <w:spacing w:after="0"/>
              <w:jc w:val="center"/>
              <w:rPr>
                <w:rFonts w:ascii="Century Gothic" w:hAnsi="Century Gothic"/>
                <w:bCs/>
                <w:sz w:val="17"/>
                <w:szCs w:val="17"/>
                <w:lang w:val="en-US"/>
              </w:rPr>
            </w:pPr>
            <w:proofErr w:type="spellStart"/>
            <w:r w:rsidRPr="00296E53">
              <w:rPr>
                <w:rFonts w:ascii="Century Gothic" w:hAnsi="Century Gothic"/>
                <w:bCs/>
                <w:sz w:val="17"/>
                <w:szCs w:val="17"/>
                <w:lang w:val="en-US"/>
              </w:rPr>
              <w:t>Externo</w:t>
            </w:r>
            <w:proofErr w:type="spellEnd"/>
          </w:p>
        </w:tc>
        <w:tc>
          <w:tcPr>
            <w:tcW w:w="1800" w:type="dxa"/>
            <w:vMerge w:val="restart"/>
            <w:tcBorders>
              <w:top w:val="single" w:sz="12" w:space="0" w:color="FFFFFF"/>
              <w:left w:val="single" w:sz="8" w:space="0" w:color="FFFFFF"/>
              <w:bottom w:val="single" w:sz="12" w:space="0" w:color="FFFFFF"/>
              <w:right w:val="single" w:sz="12" w:space="0" w:color="FFFFFF"/>
            </w:tcBorders>
            <w:shd w:val="clear" w:color="auto" w:fill="9FD5FF"/>
            <w:tcMar>
              <w:top w:w="92" w:type="dxa"/>
              <w:left w:w="15" w:type="dxa"/>
              <w:bottom w:w="0" w:type="dxa"/>
              <w:right w:w="15" w:type="dxa"/>
            </w:tcMar>
            <w:vAlign w:val="center"/>
            <w:hideMark/>
          </w:tcPr>
          <w:p w14:paraId="1C62937A" w14:textId="77777777" w:rsidR="0018255F" w:rsidRPr="00296E53" w:rsidRDefault="0018255F" w:rsidP="0018255F">
            <w:pPr>
              <w:spacing w:after="0"/>
              <w:jc w:val="center"/>
              <w:rPr>
                <w:rFonts w:ascii="Century Gothic" w:hAnsi="Century Gothic"/>
                <w:bCs/>
                <w:sz w:val="17"/>
                <w:szCs w:val="17"/>
                <w:lang w:val="en-US"/>
              </w:rPr>
            </w:pPr>
            <w:proofErr w:type="spellStart"/>
            <w:r w:rsidRPr="00296E53">
              <w:rPr>
                <w:rFonts w:ascii="Century Gothic" w:hAnsi="Century Gothic"/>
                <w:bCs/>
                <w:sz w:val="17"/>
                <w:szCs w:val="17"/>
                <w:lang w:val="en-US"/>
              </w:rPr>
              <w:t>Atención</w:t>
            </w:r>
            <w:proofErr w:type="spellEnd"/>
            <w:r w:rsidRPr="00296E53">
              <w:rPr>
                <w:rFonts w:ascii="Century Gothic" w:hAnsi="Century Gothic"/>
                <w:bCs/>
                <w:sz w:val="17"/>
                <w:szCs w:val="17"/>
                <w:lang w:val="en-US"/>
              </w:rPr>
              <w:t xml:space="preserve"> </w:t>
            </w:r>
            <w:proofErr w:type="gramStart"/>
            <w:r w:rsidRPr="00296E53">
              <w:rPr>
                <w:rFonts w:ascii="Century Gothic" w:hAnsi="Century Gothic"/>
                <w:bCs/>
                <w:sz w:val="17"/>
                <w:szCs w:val="17"/>
                <w:lang w:val="en-US"/>
              </w:rPr>
              <w:t xml:space="preserve">a  </w:t>
            </w:r>
            <w:proofErr w:type="spellStart"/>
            <w:r w:rsidRPr="00296E53">
              <w:rPr>
                <w:rFonts w:ascii="Century Gothic" w:hAnsi="Century Gothic"/>
                <w:bCs/>
                <w:sz w:val="17"/>
                <w:szCs w:val="17"/>
                <w:lang w:val="en-US"/>
              </w:rPr>
              <w:t>disposiciones</w:t>
            </w:r>
            <w:proofErr w:type="spellEnd"/>
            <w:proofErr w:type="gramEnd"/>
            <w:r w:rsidRPr="00296E53">
              <w:rPr>
                <w:rFonts w:ascii="Century Gothic" w:hAnsi="Century Gothic"/>
                <w:bCs/>
                <w:sz w:val="17"/>
                <w:szCs w:val="17"/>
                <w:lang w:val="en-US"/>
              </w:rPr>
              <w:t xml:space="preserve">  </w:t>
            </w:r>
            <w:proofErr w:type="spellStart"/>
            <w:r w:rsidRPr="00296E53">
              <w:rPr>
                <w:rFonts w:ascii="Century Gothic" w:hAnsi="Century Gothic"/>
                <w:bCs/>
                <w:sz w:val="17"/>
                <w:szCs w:val="17"/>
                <w:lang w:val="en-US"/>
              </w:rPr>
              <w:t>legales</w:t>
            </w:r>
            <w:proofErr w:type="spellEnd"/>
          </w:p>
        </w:tc>
        <w:tc>
          <w:tcPr>
            <w:tcW w:w="7946" w:type="dxa"/>
            <w:tcBorders>
              <w:top w:val="single" w:sz="12" w:space="0" w:color="FFFFFF"/>
              <w:left w:val="single" w:sz="12" w:space="0" w:color="FFFFFF"/>
              <w:bottom w:val="single" w:sz="12" w:space="0" w:color="FFFFFF"/>
              <w:right w:val="single" w:sz="12" w:space="0" w:color="FFFFFF"/>
            </w:tcBorders>
            <w:shd w:val="clear" w:color="auto" w:fill="9FD5FF"/>
            <w:tcMar>
              <w:top w:w="34" w:type="dxa"/>
              <w:left w:w="15" w:type="dxa"/>
              <w:bottom w:w="0" w:type="dxa"/>
              <w:right w:w="15" w:type="dxa"/>
            </w:tcMar>
            <w:vAlign w:val="center"/>
            <w:hideMark/>
          </w:tcPr>
          <w:p w14:paraId="0CC07FDF"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que atienden las disposiciones en la </w:t>
            </w:r>
            <w:r w:rsidRPr="00296E53">
              <w:rPr>
                <w:rFonts w:ascii="Century Gothic" w:hAnsi="Century Gothic"/>
                <w:bCs/>
                <w:sz w:val="17"/>
                <w:szCs w:val="17"/>
                <w:u w:val="single"/>
              </w:rPr>
              <w:t>Constitución y Leyes Nacionales</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4FF64B9A"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31.7%</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36BF38A0"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38.2%</w:t>
            </w:r>
          </w:p>
        </w:tc>
      </w:tr>
      <w:tr w:rsidR="0018255F" w:rsidRPr="00296E53" w14:paraId="3F9D9ABF"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5C6B766A" w14:textId="77777777" w:rsidR="0018255F" w:rsidRPr="00296E53"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21AAA391" w14:textId="77777777" w:rsidR="0018255F" w:rsidRPr="00296E53"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9FD5FF"/>
            <w:tcMar>
              <w:top w:w="34" w:type="dxa"/>
              <w:left w:w="15" w:type="dxa"/>
              <w:bottom w:w="0" w:type="dxa"/>
              <w:right w:w="15" w:type="dxa"/>
            </w:tcMar>
            <w:vAlign w:val="center"/>
            <w:hideMark/>
          </w:tcPr>
          <w:p w14:paraId="2A51AA19"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que atienden las disposiciones en </w:t>
            </w:r>
            <w:r w:rsidRPr="00296E53">
              <w:rPr>
                <w:rFonts w:ascii="Century Gothic" w:hAnsi="Century Gothic"/>
                <w:bCs/>
                <w:sz w:val="17"/>
                <w:szCs w:val="17"/>
                <w:u w:val="single"/>
              </w:rPr>
              <w:t>Tratados Internacionales</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19F7524F"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23.8%</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401D5047"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40.4%</w:t>
            </w:r>
          </w:p>
        </w:tc>
      </w:tr>
      <w:tr w:rsidR="0018255F" w:rsidRPr="00296E53" w14:paraId="35A2D819"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1C465AE5" w14:textId="77777777" w:rsidR="0018255F" w:rsidRPr="00296E53" w:rsidRDefault="0018255F" w:rsidP="0018255F">
            <w:pPr>
              <w:spacing w:after="0"/>
              <w:jc w:val="center"/>
              <w:rPr>
                <w:rFonts w:ascii="Century Gothic" w:hAnsi="Century Gothic"/>
                <w:bCs/>
                <w:sz w:val="17"/>
                <w:szCs w:val="17"/>
                <w:lang w:val="en-US"/>
              </w:rPr>
            </w:pPr>
          </w:p>
        </w:tc>
        <w:tc>
          <w:tcPr>
            <w:tcW w:w="1800" w:type="dxa"/>
            <w:vMerge w:val="restart"/>
            <w:tcBorders>
              <w:top w:val="single" w:sz="12" w:space="0" w:color="FFFFFF"/>
              <w:left w:val="single" w:sz="8" w:space="0" w:color="FFFFFF"/>
              <w:bottom w:val="single" w:sz="12" w:space="0" w:color="FFFFFF"/>
              <w:right w:val="single" w:sz="12" w:space="0" w:color="FFFFFF"/>
            </w:tcBorders>
            <w:shd w:val="clear" w:color="auto" w:fill="C8E8FF"/>
            <w:tcMar>
              <w:top w:w="15" w:type="dxa"/>
              <w:left w:w="15" w:type="dxa"/>
              <w:bottom w:w="0" w:type="dxa"/>
              <w:right w:w="15" w:type="dxa"/>
            </w:tcMar>
            <w:vAlign w:val="center"/>
            <w:hideMark/>
          </w:tcPr>
          <w:p w14:paraId="5219BDEF" w14:textId="77045AE0"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Uso en la medición del desarrollo nacional</w:t>
            </w:r>
          </w:p>
        </w:tc>
        <w:tc>
          <w:tcPr>
            <w:tcW w:w="7946" w:type="dxa"/>
            <w:tcBorders>
              <w:top w:val="single" w:sz="12" w:space="0" w:color="FFFFFF"/>
              <w:left w:val="single" w:sz="12" w:space="0" w:color="FFFFFF"/>
              <w:bottom w:val="single" w:sz="12" w:space="0" w:color="FFFFFF"/>
              <w:right w:val="single" w:sz="12" w:space="0" w:color="FFFFFF"/>
            </w:tcBorders>
            <w:shd w:val="clear" w:color="auto" w:fill="C8E8FF"/>
            <w:tcMar>
              <w:top w:w="34" w:type="dxa"/>
              <w:left w:w="15" w:type="dxa"/>
              <w:bottom w:w="0" w:type="dxa"/>
              <w:right w:w="15" w:type="dxa"/>
            </w:tcMar>
            <w:vAlign w:val="center"/>
            <w:hideMark/>
          </w:tcPr>
          <w:p w14:paraId="40986340" w14:textId="536949A4"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utilizados en el cálculo de Indicadores de los </w:t>
            </w:r>
            <w:r w:rsidRPr="00296E53">
              <w:rPr>
                <w:rFonts w:ascii="Century Gothic" w:hAnsi="Century Gothic"/>
                <w:bCs/>
                <w:sz w:val="17"/>
                <w:szCs w:val="17"/>
                <w:u w:val="single"/>
              </w:rPr>
              <w:t>Objetivos de Desarrollo Sostenible</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31245788" w14:textId="796AD241"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18.8%</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5A3EC89B"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31.5%</w:t>
            </w:r>
          </w:p>
        </w:tc>
      </w:tr>
      <w:tr w:rsidR="0018255F" w:rsidRPr="00296E53" w14:paraId="7E904191"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4348FF3D" w14:textId="77777777" w:rsidR="0018255F" w:rsidRPr="00296E53"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62749DED" w14:textId="77777777" w:rsidR="0018255F" w:rsidRPr="00296E53"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C8E8FF"/>
            <w:tcMar>
              <w:top w:w="34" w:type="dxa"/>
              <w:left w:w="15" w:type="dxa"/>
              <w:bottom w:w="0" w:type="dxa"/>
              <w:right w:w="15" w:type="dxa"/>
            </w:tcMar>
            <w:vAlign w:val="center"/>
            <w:hideMark/>
          </w:tcPr>
          <w:p w14:paraId="2EDB73FA"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utilizados en el cálculo de </w:t>
            </w:r>
            <w:r w:rsidRPr="00296E53">
              <w:rPr>
                <w:rFonts w:ascii="Century Gothic" w:hAnsi="Century Gothic"/>
                <w:bCs/>
                <w:sz w:val="17"/>
                <w:szCs w:val="17"/>
                <w:u w:val="single"/>
              </w:rPr>
              <w:t>Indicadores Clave</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33FD005C"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30.7%</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0C03884A"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34.8%</w:t>
            </w:r>
          </w:p>
        </w:tc>
      </w:tr>
      <w:tr w:rsidR="0018255F" w:rsidRPr="00296E53" w14:paraId="3C46A40C"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7F304AD6" w14:textId="77777777" w:rsidR="0018255F" w:rsidRPr="00296E53"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7AB3FAFC" w14:textId="77777777" w:rsidR="0018255F" w:rsidRPr="00296E53"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C8E8FF"/>
            <w:tcMar>
              <w:top w:w="92" w:type="dxa"/>
              <w:left w:w="15" w:type="dxa"/>
              <w:bottom w:w="0" w:type="dxa"/>
              <w:right w:w="15" w:type="dxa"/>
            </w:tcMar>
            <w:vAlign w:val="center"/>
            <w:hideMark/>
          </w:tcPr>
          <w:p w14:paraId="65B09081" w14:textId="7D1F2B4C"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utilizados en el cálculo de los indicadores de los </w:t>
            </w:r>
            <w:r w:rsidRPr="00296E53">
              <w:rPr>
                <w:rFonts w:ascii="Century Gothic" w:hAnsi="Century Gothic"/>
                <w:bCs/>
                <w:sz w:val="17"/>
                <w:szCs w:val="17"/>
                <w:u w:val="single"/>
              </w:rPr>
              <w:t>Programas que se derivan del Plan Nacional de Desarrollo</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5" w:type="dxa"/>
              <w:left w:w="15" w:type="dxa"/>
              <w:bottom w:w="0" w:type="dxa"/>
              <w:right w:w="15" w:type="dxa"/>
            </w:tcMar>
            <w:vAlign w:val="center"/>
            <w:hideMark/>
          </w:tcPr>
          <w:p w14:paraId="41A4818D"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1%</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5" w:type="dxa"/>
              <w:left w:w="15" w:type="dxa"/>
              <w:bottom w:w="0" w:type="dxa"/>
              <w:right w:w="15" w:type="dxa"/>
            </w:tcMar>
            <w:vAlign w:val="center"/>
            <w:hideMark/>
          </w:tcPr>
          <w:p w14:paraId="5F0ACC26"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34.8%</w:t>
            </w:r>
          </w:p>
        </w:tc>
      </w:tr>
      <w:tr w:rsidR="0018255F" w:rsidRPr="00296E53" w14:paraId="69573580"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7D103CD1" w14:textId="77777777" w:rsidR="0018255F" w:rsidRPr="00296E53"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72FA23AC" w14:textId="77777777" w:rsidR="0018255F" w:rsidRPr="00296E53"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C8E8FF"/>
            <w:tcMar>
              <w:top w:w="34" w:type="dxa"/>
              <w:left w:w="15" w:type="dxa"/>
              <w:bottom w:w="0" w:type="dxa"/>
              <w:right w:w="15" w:type="dxa"/>
            </w:tcMar>
            <w:vAlign w:val="center"/>
            <w:hideMark/>
          </w:tcPr>
          <w:p w14:paraId="0137602B"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relacionados con las </w:t>
            </w:r>
            <w:r w:rsidRPr="00296E53">
              <w:rPr>
                <w:rFonts w:ascii="Century Gothic" w:hAnsi="Century Gothic"/>
                <w:bCs/>
                <w:sz w:val="17"/>
                <w:szCs w:val="17"/>
                <w:u w:val="single"/>
              </w:rPr>
              <w:t>Metas del Plan Nacional de Desarrollo</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44710DA4"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69.3%</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40251303"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71.9%</w:t>
            </w:r>
          </w:p>
        </w:tc>
      </w:tr>
      <w:tr w:rsidR="0018255F" w:rsidRPr="00296E53" w14:paraId="0AE23DBC"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51AC606B" w14:textId="77777777" w:rsidR="0018255F" w:rsidRPr="00296E53" w:rsidRDefault="0018255F" w:rsidP="0018255F">
            <w:pPr>
              <w:spacing w:after="0"/>
              <w:jc w:val="center"/>
              <w:rPr>
                <w:rFonts w:ascii="Century Gothic" w:hAnsi="Century Gothic"/>
                <w:bCs/>
                <w:sz w:val="17"/>
                <w:szCs w:val="17"/>
                <w:lang w:val="en-US"/>
              </w:rPr>
            </w:pPr>
          </w:p>
        </w:tc>
        <w:tc>
          <w:tcPr>
            <w:tcW w:w="1800" w:type="dxa"/>
            <w:vMerge w:val="restart"/>
            <w:tcBorders>
              <w:top w:val="single" w:sz="12" w:space="0" w:color="FFFFFF"/>
              <w:left w:val="single" w:sz="8" w:space="0" w:color="FFFFFF"/>
              <w:bottom w:val="single" w:sz="12" w:space="0" w:color="FFFFFF"/>
              <w:right w:val="single" w:sz="12" w:space="0" w:color="FFFFFF"/>
            </w:tcBorders>
            <w:shd w:val="clear" w:color="auto" w:fill="9FD5FF"/>
            <w:tcMar>
              <w:top w:w="8" w:type="dxa"/>
              <w:left w:w="15" w:type="dxa"/>
              <w:bottom w:w="0" w:type="dxa"/>
              <w:right w:w="15" w:type="dxa"/>
            </w:tcMar>
            <w:vAlign w:val="center"/>
            <w:hideMark/>
          </w:tcPr>
          <w:p w14:paraId="5CFBB872" w14:textId="77777777" w:rsidR="0018255F" w:rsidRPr="00296E53" w:rsidRDefault="0018255F" w:rsidP="0018255F">
            <w:pPr>
              <w:spacing w:after="0"/>
              <w:jc w:val="center"/>
              <w:rPr>
                <w:rFonts w:ascii="Century Gothic" w:hAnsi="Century Gothic"/>
                <w:bCs/>
                <w:sz w:val="17"/>
                <w:szCs w:val="17"/>
                <w:lang w:val="en-US"/>
              </w:rPr>
            </w:pPr>
            <w:proofErr w:type="spellStart"/>
            <w:r w:rsidRPr="00296E53">
              <w:rPr>
                <w:rFonts w:ascii="Century Gothic" w:hAnsi="Century Gothic"/>
                <w:bCs/>
                <w:sz w:val="17"/>
                <w:szCs w:val="17"/>
                <w:lang w:val="en-US"/>
              </w:rPr>
              <w:t>Consultas</w:t>
            </w:r>
            <w:proofErr w:type="spellEnd"/>
            <w:r w:rsidRPr="00296E53">
              <w:rPr>
                <w:rFonts w:ascii="Century Gothic" w:hAnsi="Century Gothic"/>
                <w:bCs/>
                <w:sz w:val="17"/>
                <w:szCs w:val="17"/>
                <w:lang w:val="en-US"/>
              </w:rPr>
              <w:t xml:space="preserve"> </w:t>
            </w:r>
            <w:proofErr w:type="gramStart"/>
            <w:r w:rsidRPr="00296E53">
              <w:rPr>
                <w:rFonts w:ascii="Century Gothic" w:hAnsi="Century Gothic"/>
                <w:bCs/>
                <w:sz w:val="17"/>
                <w:szCs w:val="17"/>
                <w:lang w:val="en-US"/>
              </w:rPr>
              <w:t xml:space="preserve">de  </w:t>
            </w:r>
            <w:proofErr w:type="spellStart"/>
            <w:r w:rsidRPr="00296E53">
              <w:rPr>
                <w:rFonts w:ascii="Century Gothic" w:hAnsi="Century Gothic"/>
                <w:bCs/>
                <w:sz w:val="17"/>
                <w:szCs w:val="17"/>
                <w:lang w:val="en-US"/>
              </w:rPr>
              <w:t>usuarios</w:t>
            </w:r>
            <w:proofErr w:type="spellEnd"/>
            <w:proofErr w:type="gramEnd"/>
          </w:p>
        </w:tc>
        <w:tc>
          <w:tcPr>
            <w:tcW w:w="7946" w:type="dxa"/>
            <w:tcBorders>
              <w:top w:val="single" w:sz="12" w:space="0" w:color="FFFFFF"/>
              <w:left w:val="single" w:sz="12" w:space="0" w:color="FFFFFF"/>
              <w:bottom w:val="single" w:sz="12" w:space="0" w:color="FFFFFF"/>
              <w:right w:val="single" w:sz="12" w:space="0" w:color="FFFFFF"/>
            </w:tcBorders>
            <w:shd w:val="clear" w:color="auto" w:fill="9FD5FF"/>
            <w:tcMar>
              <w:top w:w="34" w:type="dxa"/>
              <w:left w:w="15" w:type="dxa"/>
              <w:bottom w:w="0" w:type="dxa"/>
              <w:right w:w="15" w:type="dxa"/>
            </w:tcMar>
            <w:vAlign w:val="center"/>
            <w:hideMark/>
          </w:tcPr>
          <w:p w14:paraId="3FDFC382"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consultados a través del </w:t>
            </w:r>
            <w:r w:rsidRPr="00296E53">
              <w:rPr>
                <w:rFonts w:ascii="Century Gothic" w:hAnsi="Century Gothic"/>
                <w:bCs/>
                <w:sz w:val="17"/>
                <w:szCs w:val="17"/>
                <w:u w:val="single"/>
              </w:rPr>
              <w:t>laboratorio de Microdatos.</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065C20C1"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70.3%</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17614D61"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44.9%</w:t>
            </w:r>
          </w:p>
        </w:tc>
      </w:tr>
      <w:tr w:rsidR="0018255F" w:rsidRPr="00296E53" w14:paraId="354E5324"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24671151" w14:textId="77777777" w:rsidR="0018255F" w:rsidRPr="00296E53"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211016DC" w14:textId="77777777" w:rsidR="0018255F" w:rsidRPr="00296E53"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9FD5FF"/>
            <w:tcMar>
              <w:top w:w="34" w:type="dxa"/>
              <w:left w:w="15" w:type="dxa"/>
              <w:bottom w:w="0" w:type="dxa"/>
              <w:right w:w="15" w:type="dxa"/>
            </w:tcMar>
            <w:vAlign w:val="center"/>
            <w:hideMark/>
          </w:tcPr>
          <w:p w14:paraId="0149C5E0"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w:t>
            </w:r>
            <w:r w:rsidRPr="00296E53">
              <w:rPr>
                <w:rFonts w:ascii="Century Gothic" w:hAnsi="Century Gothic"/>
                <w:bCs/>
                <w:sz w:val="17"/>
                <w:szCs w:val="17"/>
                <w:u w:val="single"/>
              </w:rPr>
              <w:t>consultados en su página.</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0638CE96"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100%</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4C5A0A6A"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93.3%</w:t>
            </w:r>
          </w:p>
        </w:tc>
      </w:tr>
    </w:tbl>
    <w:p w14:paraId="197F3495" w14:textId="61CA2595" w:rsidR="0070451D" w:rsidRDefault="006C49EF" w:rsidP="00FD0B66">
      <w:pPr>
        <w:spacing w:after="0"/>
        <w:ind w:left="1440" w:firstLine="720"/>
        <w:jc w:val="both"/>
        <w:rPr>
          <w:rFonts w:ascii="Century Gothic" w:hAnsi="Century Gothic"/>
          <w:sz w:val="15"/>
          <w:szCs w:val="15"/>
        </w:rPr>
      </w:pPr>
      <w:r w:rsidRPr="00296E53">
        <w:rPr>
          <w:rFonts w:ascii="Century Gothic" w:hAnsi="Century Gothic"/>
          <w:sz w:val="15"/>
          <w:szCs w:val="15"/>
        </w:rPr>
        <w:t xml:space="preserve">* </w:t>
      </w:r>
      <w:r w:rsidR="005A526D" w:rsidRPr="00296E53">
        <w:rPr>
          <w:rFonts w:ascii="Century Gothic" w:hAnsi="Century Gothic"/>
          <w:sz w:val="15"/>
          <w:szCs w:val="15"/>
        </w:rPr>
        <w:t>Corresponde a un Programa de información: Marco Maestro de Muestreo</w:t>
      </w:r>
      <w:r w:rsidRPr="00296E53">
        <w:rPr>
          <w:rFonts w:ascii="Century Gothic" w:hAnsi="Century Gothic"/>
          <w:sz w:val="15"/>
          <w:szCs w:val="15"/>
        </w:rPr>
        <w:t>.</w:t>
      </w:r>
    </w:p>
    <w:p w14:paraId="677B64D4" w14:textId="2FCD006A" w:rsidR="00B93248" w:rsidRPr="00296E53" w:rsidRDefault="00FA7CDF" w:rsidP="00EA4CC9">
      <w:pPr>
        <w:spacing w:before="240"/>
        <w:jc w:val="both"/>
        <w:rPr>
          <w:rFonts w:ascii="Century Gothic" w:hAnsi="Century Gothic"/>
          <w:sz w:val="19"/>
          <w:szCs w:val="19"/>
        </w:rPr>
      </w:pPr>
      <w:r w:rsidRPr="00296E53">
        <w:rPr>
          <w:rFonts w:ascii="Century Gothic" w:hAnsi="Century Gothic"/>
          <w:sz w:val="19"/>
          <w:szCs w:val="19"/>
        </w:rPr>
        <w:t xml:space="preserve">Los </w:t>
      </w:r>
      <w:r w:rsidR="00BC044F" w:rsidRPr="00296E53">
        <w:rPr>
          <w:rFonts w:ascii="Century Gothic" w:hAnsi="Century Gothic"/>
          <w:sz w:val="19"/>
          <w:szCs w:val="19"/>
        </w:rPr>
        <w:t>indicadores de pertinencia</w:t>
      </w:r>
      <w:r w:rsidRPr="00296E53">
        <w:rPr>
          <w:rFonts w:ascii="Century Gothic" w:hAnsi="Century Gothic"/>
          <w:sz w:val="19"/>
          <w:szCs w:val="19"/>
        </w:rPr>
        <w:t xml:space="preserve"> aprobados muestran el porcentaje de cada tipo de uso respecto al total de programas de información.</w:t>
      </w:r>
      <w:r w:rsidR="009E1F0D">
        <w:rPr>
          <w:rFonts w:ascii="Century Gothic" w:hAnsi="Century Gothic"/>
          <w:sz w:val="19"/>
          <w:szCs w:val="19"/>
        </w:rPr>
        <w:t xml:space="preserve"> </w:t>
      </w:r>
      <w:r w:rsidRPr="00296E53">
        <w:rPr>
          <w:rFonts w:ascii="Century Gothic" w:hAnsi="Century Gothic"/>
          <w:sz w:val="19"/>
          <w:szCs w:val="19"/>
        </w:rPr>
        <w:t>Sin embargo, un mismo programa puede ser insumo</w:t>
      </w:r>
      <w:r w:rsidR="002B0E3E" w:rsidRPr="00296E53">
        <w:rPr>
          <w:rFonts w:ascii="Century Gothic" w:hAnsi="Century Gothic"/>
          <w:sz w:val="19"/>
          <w:szCs w:val="19"/>
        </w:rPr>
        <w:t xml:space="preserve"> para distintos usos</w:t>
      </w:r>
      <w:r w:rsidRPr="00296E53">
        <w:rPr>
          <w:rFonts w:ascii="Century Gothic" w:hAnsi="Century Gothic"/>
          <w:sz w:val="19"/>
          <w:szCs w:val="19"/>
        </w:rPr>
        <w:t xml:space="preserve">, por lo que resulta útil analizar el porcentaje acumulado del uso externo de los programas de información.  </w:t>
      </w:r>
      <w:r w:rsidR="00C57BB9" w:rsidRPr="00296E53">
        <w:rPr>
          <w:rFonts w:ascii="Century Gothic" w:hAnsi="Century Gothic"/>
          <w:sz w:val="19"/>
          <w:szCs w:val="19"/>
        </w:rPr>
        <w:t>En el cuadro A.1.</w:t>
      </w:r>
      <w:r w:rsidR="000D7311" w:rsidRPr="00296E53">
        <w:rPr>
          <w:rFonts w:ascii="Century Gothic" w:hAnsi="Century Gothic"/>
          <w:sz w:val="19"/>
          <w:szCs w:val="19"/>
        </w:rPr>
        <w:t>6</w:t>
      </w:r>
      <w:r w:rsidR="00C57BB9" w:rsidRPr="00296E53">
        <w:rPr>
          <w:rFonts w:ascii="Century Gothic" w:hAnsi="Century Gothic"/>
          <w:sz w:val="19"/>
          <w:szCs w:val="19"/>
        </w:rPr>
        <w:t xml:space="preserve"> puede observarse que el </w:t>
      </w:r>
      <w:r w:rsidR="0025092F" w:rsidRPr="00296E53">
        <w:rPr>
          <w:rFonts w:ascii="Century Gothic" w:hAnsi="Century Gothic"/>
          <w:sz w:val="19"/>
          <w:szCs w:val="19"/>
        </w:rPr>
        <w:t>60</w:t>
      </w:r>
      <w:r w:rsidR="00C57BB9" w:rsidRPr="00296E53">
        <w:rPr>
          <w:rFonts w:ascii="Century Gothic" w:hAnsi="Century Gothic"/>
          <w:sz w:val="19"/>
          <w:szCs w:val="19"/>
        </w:rPr>
        <w:t xml:space="preserve">% de los programas de información se utiliza para la medición de indicadores (PND, Clave y ODS) y atención a las disposiciones legales.  </w:t>
      </w:r>
    </w:p>
    <w:p w14:paraId="03D7FE53" w14:textId="5CDC6240" w:rsidR="00FD0B66" w:rsidRPr="00296E53" w:rsidRDefault="00FD0B66" w:rsidP="00EA4CC9">
      <w:pPr>
        <w:spacing w:before="240"/>
        <w:jc w:val="both"/>
        <w:rPr>
          <w:rFonts w:ascii="Century Gothic" w:hAnsi="Century Gothic"/>
          <w:sz w:val="19"/>
          <w:szCs w:val="19"/>
        </w:rPr>
      </w:pPr>
    </w:p>
    <w:p w14:paraId="0DB20998" w14:textId="77777777" w:rsidR="004433A7" w:rsidRPr="00296E53" w:rsidRDefault="004433A7" w:rsidP="00EA4CC9">
      <w:pPr>
        <w:spacing w:before="240"/>
        <w:jc w:val="both"/>
        <w:rPr>
          <w:rFonts w:ascii="Century Gothic" w:hAnsi="Century Gothic"/>
          <w:sz w:val="19"/>
          <w:szCs w:val="19"/>
        </w:rPr>
      </w:pPr>
    </w:p>
    <w:tbl>
      <w:tblPr>
        <w:tblW w:w="11401" w:type="dxa"/>
        <w:jc w:val="center"/>
        <w:tblLook w:val="04A0" w:firstRow="1" w:lastRow="0" w:firstColumn="1" w:lastColumn="0" w:noHBand="0" w:noVBand="1"/>
      </w:tblPr>
      <w:tblGrid>
        <w:gridCol w:w="1855"/>
        <w:gridCol w:w="9546"/>
      </w:tblGrid>
      <w:tr w:rsidR="00E6610C" w:rsidRPr="00296E53" w14:paraId="063D00E8" w14:textId="77777777" w:rsidTr="00890AE3">
        <w:trPr>
          <w:jc w:val="center"/>
        </w:trPr>
        <w:tc>
          <w:tcPr>
            <w:tcW w:w="2127" w:type="dxa"/>
            <w:shd w:val="clear" w:color="auto" w:fill="auto"/>
          </w:tcPr>
          <w:p w14:paraId="10445972" w14:textId="77777777" w:rsidR="00E6610C" w:rsidRPr="00296E53" w:rsidRDefault="00E6610C" w:rsidP="002650CB">
            <w:pPr>
              <w:spacing w:after="120"/>
              <w:jc w:val="center"/>
              <w:rPr>
                <w:rFonts w:ascii="Century Gothic" w:hAnsi="Century Gothic"/>
              </w:rPr>
            </w:pPr>
          </w:p>
        </w:tc>
        <w:tc>
          <w:tcPr>
            <w:tcW w:w="9274" w:type="dxa"/>
            <w:shd w:val="clear" w:color="auto" w:fill="auto"/>
          </w:tcPr>
          <w:p w14:paraId="29283319" w14:textId="77777777" w:rsidR="00E6610C" w:rsidRPr="00296E53" w:rsidRDefault="00C211F7" w:rsidP="00C211F7">
            <w:pPr>
              <w:spacing w:after="120"/>
              <w:jc w:val="center"/>
              <w:rPr>
                <w:rFonts w:ascii="Century Gothic" w:hAnsi="Century Gothic"/>
              </w:rPr>
            </w:pPr>
            <w:r w:rsidRPr="00296E53">
              <w:rPr>
                <w:rFonts w:ascii="Century Gothic" w:hAnsi="Century Gothic"/>
                <w:b/>
                <w:sz w:val="19"/>
                <w:szCs w:val="19"/>
              </w:rPr>
              <w:t>A.1.</w:t>
            </w:r>
            <w:r w:rsidR="000D7311" w:rsidRPr="00296E53">
              <w:rPr>
                <w:rFonts w:ascii="Century Gothic" w:hAnsi="Century Gothic"/>
                <w:b/>
                <w:sz w:val="19"/>
                <w:szCs w:val="19"/>
              </w:rPr>
              <w:t>6</w:t>
            </w:r>
            <w:r w:rsidR="00E07324" w:rsidRPr="00296E53">
              <w:rPr>
                <w:rFonts w:ascii="Century Gothic" w:hAnsi="Century Gothic"/>
                <w:b/>
                <w:sz w:val="19"/>
                <w:szCs w:val="19"/>
              </w:rPr>
              <w:t>.  Programas de uso externo</w:t>
            </w:r>
          </w:p>
        </w:tc>
      </w:tr>
      <w:tr w:rsidR="00E6610C" w:rsidRPr="00296E53" w14:paraId="40698757" w14:textId="77777777" w:rsidTr="00890AE3">
        <w:trPr>
          <w:jc w:val="center"/>
        </w:trPr>
        <w:tc>
          <w:tcPr>
            <w:tcW w:w="2127" w:type="dxa"/>
            <w:shd w:val="clear" w:color="auto" w:fill="auto"/>
          </w:tcPr>
          <w:p w14:paraId="6D5867F2" w14:textId="77777777" w:rsidR="00B71E8D" w:rsidRPr="00296E53" w:rsidRDefault="00B71E8D" w:rsidP="009B06CF">
            <w:pPr>
              <w:jc w:val="center"/>
              <w:rPr>
                <w:rFonts w:ascii="Century Gothic" w:hAnsi="Century Gothic"/>
                <w:sz w:val="16"/>
                <w:szCs w:val="16"/>
              </w:rPr>
            </w:pPr>
          </w:p>
        </w:tc>
        <w:tc>
          <w:tcPr>
            <w:tcW w:w="9274" w:type="dxa"/>
            <w:shd w:val="clear" w:color="auto" w:fill="auto"/>
          </w:tcPr>
          <w:p w14:paraId="73989A6F" w14:textId="14A30CD0" w:rsidR="00E6610C" w:rsidRPr="00296E53" w:rsidRDefault="0025092F" w:rsidP="00855318">
            <w:pPr>
              <w:spacing w:after="120"/>
            </w:pPr>
            <w:r w:rsidRPr="00296E53">
              <w:rPr>
                <w:noProof/>
              </w:rPr>
              <w:drawing>
                <wp:inline distT="0" distB="0" distL="0" distR="0" wp14:anchorId="2D8563B2" wp14:editId="02FBE594">
                  <wp:extent cx="5918200" cy="184785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8200" cy="1847850"/>
                          </a:xfrm>
                          <a:prstGeom prst="rect">
                            <a:avLst/>
                          </a:prstGeom>
                          <a:noFill/>
                          <a:ln>
                            <a:noFill/>
                          </a:ln>
                        </pic:spPr>
                      </pic:pic>
                    </a:graphicData>
                  </a:graphic>
                </wp:inline>
              </w:drawing>
            </w:r>
          </w:p>
        </w:tc>
      </w:tr>
    </w:tbl>
    <w:p w14:paraId="2B79E78D" w14:textId="4EFA4C5D" w:rsidR="0091708F" w:rsidRPr="00296E53" w:rsidRDefault="0091708F" w:rsidP="00326AA2">
      <w:pPr>
        <w:spacing w:before="240"/>
        <w:jc w:val="both"/>
        <w:rPr>
          <w:rFonts w:ascii="Century Gothic" w:hAnsi="Century Gothic"/>
          <w:sz w:val="19"/>
          <w:szCs w:val="19"/>
        </w:rPr>
      </w:pPr>
      <w:r w:rsidRPr="00296E53">
        <w:rPr>
          <w:rFonts w:ascii="Century Gothic" w:hAnsi="Century Gothic"/>
          <w:sz w:val="19"/>
          <w:szCs w:val="19"/>
        </w:rPr>
        <w:t xml:space="preserve">Las fuentes utilizadas para el cálculo de los indicadores </w:t>
      </w:r>
      <w:r w:rsidR="00D93874" w:rsidRPr="00296E53">
        <w:rPr>
          <w:rFonts w:ascii="Century Gothic" w:hAnsi="Century Gothic"/>
          <w:sz w:val="19"/>
          <w:szCs w:val="19"/>
        </w:rPr>
        <w:t>mostrados</w:t>
      </w:r>
      <w:r w:rsidRPr="00296E53">
        <w:rPr>
          <w:rFonts w:ascii="Century Gothic" w:hAnsi="Century Gothic"/>
          <w:sz w:val="19"/>
          <w:szCs w:val="19"/>
        </w:rPr>
        <w:t xml:space="preserve"> se presentan en el cuadro </w:t>
      </w:r>
      <w:r w:rsidR="00311C9F" w:rsidRPr="00296E53">
        <w:rPr>
          <w:rFonts w:ascii="Century Gothic" w:hAnsi="Century Gothic"/>
          <w:sz w:val="19"/>
          <w:szCs w:val="19"/>
        </w:rPr>
        <w:t>A.1.8.</w:t>
      </w:r>
    </w:p>
    <w:p w14:paraId="7EB4E8FB" w14:textId="77777777" w:rsidR="00311C9F" w:rsidRPr="00296E53" w:rsidRDefault="00311C9F" w:rsidP="00311C9F">
      <w:pPr>
        <w:spacing w:before="240"/>
        <w:jc w:val="center"/>
        <w:rPr>
          <w:rFonts w:ascii="Century Gothic" w:hAnsi="Century Gothic"/>
          <w:sz w:val="19"/>
          <w:szCs w:val="19"/>
        </w:rPr>
      </w:pPr>
      <w:r w:rsidRPr="00296E53">
        <w:rPr>
          <w:rFonts w:ascii="Century Gothic" w:hAnsi="Century Gothic"/>
          <w:b/>
          <w:sz w:val="19"/>
          <w:szCs w:val="19"/>
        </w:rPr>
        <w:t>A.1.</w:t>
      </w:r>
      <w:r w:rsidR="000D7311" w:rsidRPr="00296E53">
        <w:rPr>
          <w:rFonts w:ascii="Century Gothic" w:hAnsi="Century Gothic"/>
          <w:b/>
          <w:sz w:val="19"/>
          <w:szCs w:val="19"/>
        </w:rPr>
        <w:t>7</w:t>
      </w:r>
      <w:r w:rsidRPr="00296E53">
        <w:rPr>
          <w:rFonts w:ascii="Century Gothic" w:hAnsi="Century Gothic"/>
          <w:b/>
          <w:sz w:val="19"/>
          <w:szCs w:val="19"/>
        </w:rPr>
        <w:t>.  Descripción de las fuentes utilizadas para el cálculo de los indicadores de pertinencia</w:t>
      </w:r>
    </w:p>
    <w:tbl>
      <w:tblPr>
        <w:tblW w:w="14175" w:type="dxa"/>
        <w:tblLook w:val="04A0" w:firstRow="1" w:lastRow="0" w:firstColumn="1" w:lastColumn="0" w:noHBand="0" w:noVBand="1"/>
      </w:tblPr>
      <w:tblGrid>
        <w:gridCol w:w="435"/>
        <w:gridCol w:w="4243"/>
        <w:gridCol w:w="9497"/>
      </w:tblGrid>
      <w:tr w:rsidR="0091708F" w:rsidRPr="00296E53" w14:paraId="155EAAEA" w14:textId="77777777" w:rsidTr="004433A7">
        <w:trPr>
          <w:trHeight w:val="341"/>
          <w:tblHeader/>
        </w:trPr>
        <w:tc>
          <w:tcPr>
            <w:tcW w:w="435" w:type="dxa"/>
            <w:tcBorders>
              <w:top w:val="nil"/>
              <w:left w:val="nil"/>
              <w:bottom w:val="nil"/>
              <w:right w:val="nil"/>
            </w:tcBorders>
            <w:shd w:val="clear" w:color="auto" w:fill="1F3864" w:themeFill="accent5" w:themeFillShade="80"/>
            <w:noWrap/>
            <w:vAlign w:val="center"/>
            <w:hideMark/>
          </w:tcPr>
          <w:p w14:paraId="7D5AE070" w14:textId="77777777" w:rsidR="0091708F" w:rsidRPr="00296E53" w:rsidRDefault="0091708F" w:rsidP="0091708F">
            <w:pPr>
              <w:spacing w:after="0" w:line="240" w:lineRule="auto"/>
              <w:ind w:firstLineChars="100" w:firstLine="171"/>
              <w:rPr>
                <w:rFonts w:ascii="Century Gothic" w:eastAsia="Times New Roman" w:hAnsi="Century Gothic" w:cs="Arial"/>
                <w:b/>
                <w:bCs/>
                <w:color w:val="000000"/>
                <w:sz w:val="17"/>
                <w:szCs w:val="17"/>
              </w:rPr>
            </w:pPr>
            <w:r w:rsidRPr="00296E53">
              <w:rPr>
                <w:rFonts w:ascii="Century Gothic" w:eastAsia="Times New Roman" w:hAnsi="Century Gothic" w:cs="Arial"/>
                <w:b/>
                <w:bCs/>
                <w:color w:val="000000"/>
                <w:sz w:val="17"/>
                <w:szCs w:val="17"/>
              </w:rPr>
              <w:t> </w:t>
            </w:r>
          </w:p>
        </w:tc>
        <w:tc>
          <w:tcPr>
            <w:tcW w:w="4243" w:type="dxa"/>
            <w:tcBorders>
              <w:top w:val="nil"/>
              <w:left w:val="nil"/>
              <w:bottom w:val="nil"/>
              <w:right w:val="nil"/>
            </w:tcBorders>
            <w:shd w:val="clear" w:color="auto" w:fill="1F3864" w:themeFill="accent5" w:themeFillShade="80"/>
            <w:noWrap/>
            <w:vAlign w:val="center"/>
            <w:hideMark/>
          </w:tcPr>
          <w:p w14:paraId="22612140" w14:textId="77777777" w:rsidR="0091708F" w:rsidRPr="00296E53" w:rsidRDefault="0091708F" w:rsidP="0091708F">
            <w:pPr>
              <w:spacing w:after="0" w:line="240" w:lineRule="auto"/>
              <w:ind w:firstLineChars="100" w:firstLine="171"/>
              <w:rPr>
                <w:rFonts w:ascii="Century Gothic" w:eastAsia="Times New Roman" w:hAnsi="Century Gothic" w:cs="Arial"/>
                <w:b/>
                <w:bCs/>
                <w:color w:val="FFFFFF" w:themeColor="background1"/>
                <w:sz w:val="17"/>
                <w:szCs w:val="17"/>
                <w:lang w:val="en-US"/>
              </w:rPr>
            </w:pPr>
            <w:proofErr w:type="spellStart"/>
            <w:r w:rsidRPr="00296E53">
              <w:rPr>
                <w:rFonts w:ascii="Century Gothic" w:eastAsia="Times New Roman" w:hAnsi="Century Gothic" w:cs="Arial"/>
                <w:b/>
                <w:bCs/>
                <w:color w:val="FFFFFF" w:themeColor="background1"/>
                <w:sz w:val="17"/>
                <w:szCs w:val="17"/>
                <w:lang w:val="en-US"/>
              </w:rPr>
              <w:t>Elemento</w:t>
            </w:r>
            <w:proofErr w:type="spellEnd"/>
          </w:p>
        </w:tc>
        <w:tc>
          <w:tcPr>
            <w:tcW w:w="9497" w:type="dxa"/>
            <w:tcBorders>
              <w:top w:val="nil"/>
              <w:left w:val="nil"/>
              <w:bottom w:val="nil"/>
              <w:right w:val="nil"/>
            </w:tcBorders>
            <w:shd w:val="clear" w:color="auto" w:fill="1F3864" w:themeFill="accent5" w:themeFillShade="80"/>
            <w:noWrap/>
            <w:vAlign w:val="center"/>
            <w:hideMark/>
          </w:tcPr>
          <w:p w14:paraId="034551C5" w14:textId="77777777" w:rsidR="0091708F" w:rsidRPr="00296E53" w:rsidRDefault="0091708F" w:rsidP="0091708F">
            <w:pPr>
              <w:spacing w:after="0" w:line="240" w:lineRule="auto"/>
              <w:ind w:firstLineChars="100" w:firstLine="171"/>
              <w:rPr>
                <w:rFonts w:ascii="Century Gothic" w:eastAsia="Times New Roman" w:hAnsi="Century Gothic" w:cs="Arial"/>
                <w:b/>
                <w:bCs/>
                <w:color w:val="FFFFFF" w:themeColor="background1"/>
                <w:sz w:val="17"/>
                <w:szCs w:val="17"/>
                <w:lang w:val="en-US"/>
              </w:rPr>
            </w:pPr>
            <w:proofErr w:type="spellStart"/>
            <w:r w:rsidRPr="00296E53">
              <w:rPr>
                <w:rFonts w:ascii="Century Gothic" w:eastAsia="Times New Roman" w:hAnsi="Century Gothic" w:cs="Arial"/>
                <w:b/>
                <w:bCs/>
                <w:color w:val="FFFFFF" w:themeColor="background1"/>
                <w:sz w:val="17"/>
                <w:szCs w:val="17"/>
                <w:lang w:val="en-US"/>
              </w:rPr>
              <w:t>Descripción</w:t>
            </w:r>
            <w:proofErr w:type="spellEnd"/>
            <w:r w:rsidRPr="00296E53">
              <w:rPr>
                <w:rFonts w:ascii="Century Gothic" w:eastAsia="Times New Roman" w:hAnsi="Century Gothic" w:cs="Arial"/>
                <w:b/>
                <w:bCs/>
                <w:color w:val="FFFFFF" w:themeColor="background1"/>
                <w:sz w:val="17"/>
                <w:szCs w:val="17"/>
                <w:lang w:val="en-US"/>
              </w:rPr>
              <w:t xml:space="preserve"> de las </w:t>
            </w:r>
            <w:proofErr w:type="spellStart"/>
            <w:r w:rsidRPr="00296E53">
              <w:rPr>
                <w:rFonts w:ascii="Century Gothic" w:eastAsia="Times New Roman" w:hAnsi="Century Gothic" w:cs="Arial"/>
                <w:b/>
                <w:bCs/>
                <w:color w:val="FFFFFF" w:themeColor="background1"/>
                <w:sz w:val="17"/>
                <w:szCs w:val="17"/>
                <w:lang w:val="en-US"/>
              </w:rPr>
              <w:t>fuentes</w:t>
            </w:r>
            <w:proofErr w:type="spellEnd"/>
          </w:p>
        </w:tc>
      </w:tr>
      <w:tr w:rsidR="0091708F" w:rsidRPr="00296E53" w14:paraId="16D10469" w14:textId="77777777" w:rsidTr="00FD0B66">
        <w:trPr>
          <w:trHeight w:val="20"/>
        </w:trPr>
        <w:tc>
          <w:tcPr>
            <w:tcW w:w="14175" w:type="dxa"/>
            <w:gridSpan w:val="3"/>
            <w:tcBorders>
              <w:top w:val="single" w:sz="4" w:space="0" w:color="auto"/>
              <w:left w:val="nil"/>
              <w:bottom w:val="single" w:sz="4" w:space="0" w:color="auto"/>
              <w:right w:val="nil"/>
            </w:tcBorders>
            <w:shd w:val="clear" w:color="auto" w:fill="auto"/>
            <w:noWrap/>
            <w:vAlign w:val="center"/>
            <w:hideMark/>
          </w:tcPr>
          <w:p w14:paraId="6BCF9D43" w14:textId="77777777" w:rsidR="0091708F" w:rsidRPr="00296E53" w:rsidRDefault="0091708F" w:rsidP="0091708F">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A. IDENTIFICACIÓN DE PROGRAMAS DE INFORMACIÓN</w:t>
            </w:r>
          </w:p>
        </w:tc>
      </w:tr>
      <w:tr w:rsidR="00FD0B66" w:rsidRPr="00296E53" w14:paraId="67248FD8" w14:textId="77777777" w:rsidTr="004433A7">
        <w:trPr>
          <w:trHeight w:val="20"/>
        </w:trPr>
        <w:tc>
          <w:tcPr>
            <w:tcW w:w="435" w:type="dxa"/>
            <w:tcBorders>
              <w:top w:val="nil"/>
              <w:left w:val="nil"/>
              <w:bottom w:val="nil"/>
              <w:right w:val="nil"/>
            </w:tcBorders>
            <w:shd w:val="clear" w:color="auto" w:fill="auto"/>
            <w:noWrap/>
            <w:vAlign w:val="bottom"/>
            <w:hideMark/>
          </w:tcPr>
          <w:p w14:paraId="6BA2E75D" w14:textId="77777777" w:rsidR="0091708F" w:rsidRPr="00296E53" w:rsidRDefault="0091708F" w:rsidP="0091708F">
            <w:pPr>
              <w:spacing w:after="0" w:line="240" w:lineRule="auto"/>
              <w:rPr>
                <w:rFonts w:ascii="Century Gothic" w:eastAsia="Times New Roman" w:hAnsi="Century Gothic" w:cs="Times New Roman"/>
                <w:sz w:val="17"/>
                <w:szCs w:val="17"/>
              </w:rPr>
            </w:pPr>
          </w:p>
        </w:tc>
        <w:tc>
          <w:tcPr>
            <w:tcW w:w="4243" w:type="dxa"/>
            <w:tcBorders>
              <w:top w:val="nil"/>
              <w:left w:val="nil"/>
              <w:bottom w:val="single" w:sz="4" w:space="0" w:color="808080"/>
              <w:right w:val="nil"/>
            </w:tcBorders>
            <w:shd w:val="clear" w:color="auto" w:fill="auto"/>
            <w:vAlign w:val="center"/>
            <w:hideMark/>
          </w:tcPr>
          <w:p w14:paraId="6392D5F7" w14:textId="13211D30" w:rsidR="0091708F" w:rsidRPr="00296E53" w:rsidRDefault="003678D0" w:rsidP="000A4B13">
            <w:pPr>
              <w:spacing w:after="0" w:line="240" w:lineRule="auto"/>
              <w:jc w:val="both"/>
              <w:rPr>
                <w:rFonts w:ascii="Century Gothic" w:eastAsia="Times New Roman" w:hAnsi="Century Gothic" w:cs="Arial"/>
                <w:sz w:val="17"/>
                <w:szCs w:val="17"/>
              </w:rPr>
            </w:pPr>
            <w:r w:rsidRPr="00296E53">
              <w:rPr>
                <w:rFonts w:ascii="Century Gothic" w:eastAsia="Times New Roman" w:hAnsi="Century Gothic" w:cs="Arial"/>
                <w:sz w:val="17"/>
                <w:szCs w:val="17"/>
              </w:rPr>
              <w:t>INVENTARIO</w:t>
            </w:r>
            <w:r w:rsidR="0091708F" w:rsidRPr="00296E53">
              <w:rPr>
                <w:rFonts w:ascii="Century Gothic" w:eastAsia="Times New Roman" w:hAnsi="Century Gothic" w:cs="Arial"/>
                <w:sz w:val="17"/>
                <w:szCs w:val="17"/>
              </w:rPr>
              <w:t xml:space="preserve"> DE PROGRAMAS DE INFORMACIÓN INEGI</w:t>
            </w:r>
          </w:p>
        </w:tc>
        <w:tc>
          <w:tcPr>
            <w:tcW w:w="9497" w:type="dxa"/>
            <w:tcBorders>
              <w:top w:val="nil"/>
              <w:left w:val="nil"/>
              <w:bottom w:val="single" w:sz="4" w:space="0" w:color="808080"/>
              <w:right w:val="nil"/>
            </w:tcBorders>
            <w:shd w:val="clear" w:color="auto" w:fill="auto"/>
            <w:vAlign w:val="center"/>
            <w:hideMark/>
          </w:tcPr>
          <w:p w14:paraId="13275640" w14:textId="6695BB72" w:rsidR="0091708F" w:rsidRPr="00296E53" w:rsidRDefault="0091708F" w:rsidP="000A4B13">
            <w:pPr>
              <w:spacing w:after="0" w:line="240" w:lineRule="auto"/>
              <w:jc w:val="both"/>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rPr>
              <w:t>Programas de información estadística y geográfica del INEGI identificados por el conjunto de Unidades Administrativas en el marco del Comité de Aseguramiento de la Calidad</w:t>
            </w:r>
            <w:r w:rsidR="00FE2147">
              <w:rPr>
                <w:rFonts w:ascii="Century Gothic" w:eastAsia="Times New Roman" w:hAnsi="Century Gothic" w:cs="Arial"/>
                <w:color w:val="000000"/>
                <w:sz w:val="17"/>
                <w:szCs w:val="17"/>
              </w:rPr>
              <w:t xml:space="preserve"> </w:t>
            </w:r>
            <w:r w:rsidRPr="00296E53">
              <w:rPr>
                <w:rFonts w:ascii="Century Gothic" w:eastAsia="Times New Roman" w:hAnsi="Century Gothic" w:cs="Arial"/>
                <w:color w:val="000000"/>
                <w:sz w:val="17"/>
                <w:szCs w:val="17"/>
              </w:rPr>
              <w:t>(</w:t>
            </w:r>
            <w:proofErr w:type="spellStart"/>
            <w:r w:rsidRPr="00296E53">
              <w:rPr>
                <w:rFonts w:ascii="Century Gothic" w:eastAsia="Times New Roman" w:hAnsi="Century Gothic" w:cs="Arial"/>
                <w:color w:val="000000"/>
                <w:sz w:val="17"/>
                <w:szCs w:val="17"/>
              </w:rPr>
              <w:t>CoAC</w:t>
            </w:r>
            <w:proofErr w:type="spellEnd"/>
            <w:r w:rsidRPr="00296E53">
              <w:rPr>
                <w:rFonts w:ascii="Century Gothic" w:eastAsia="Times New Roman" w:hAnsi="Century Gothic" w:cs="Arial"/>
                <w:color w:val="000000"/>
                <w:sz w:val="17"/>
                <w:szCs w:val="17"/>
              </w:rPr>
              <w:t xml:space="preserve">) con estatus </w:t>
            </w:r>
            <w:r w:rsidRPr="00296E53">
              <w:rPr>
                <w:rFonts w:ascii="Century Gothic" w:eastAsia="Times New Roman" w:hAnsi="Century Gothic" w:cs="Arial"/>
                <w:i/>
                <w:iCs/>
                <w:color w:val="000000"/>
                <w:sz w:val="17"/>
                <w:szCs w:val="17"/>
              </w:rPr>
              <w:t>activo</w:t>
            </w:r>
            <w:r w:rsidRPr="00296E53">
              <w:rPr>
                <w:rFonts w:ascii="Century Gothic" w:eastAsia="Times New Roman" w:hAnsi="Century Gothic" w:cs="Arial"/>
                <w:color w:val="000000"/>
                <w:sz w:val="17"/>
                <w:szCs w:val="17"/>
              </w:rPr>
              <w:t xml:space="preserve">. </w:t>
            </w:r>
            <w:r w:rsidRPr="00296E53">
              <w:rPr>
                <w:rFonts w:ascii="Century Gothic" w:eastAsia="Times New Roman" w:hAnsi="Century Gothic" w:cs="Arial"/>
                <w:color w:val="000000"/>
                <w:sz w:val="17"/>
                <w:szCs w:val="17"/>
                <w:lang w:val="en-US"/>
              </w:rPr>
              <w:t xml:space="preserve">Lista </w:t>
            </w:r>
            <w:proofErr w:type="spellStart"/>
            <w:r w:rsidRPr="00296E53">
              <w:rPr>
                <w:rFonts w:ascii="Century Gothic" w:eastAsia="Times New Roman" w:hAnsi="Century Gothic" w:cs="Arial"/>
                <w:color w:val="000000"/>
                <w:sz w:val="17"/>
                <w:szCs w:val="17"/>
                <w:lang w:val="en-US"/>
              </w:rPr>
              <w:t>proporcionada</w:t>
            </w:r>
            <w:proofErr w:type="spellEnd"/>
            <w:r w:rsidRPr="00296E53">
              <w:rPr>
                <w:rFonts w:ascii="Century Gothic" w:eastAsia="Times New Roman" w:hAnsi="Century Gothic" w:cs="Arial"/>
                <w:color w:val="000000"/>
                <w:sz w:val="17"/>
                <w:szCs w:val="17"/>
                <w:lang w:val="en-US"/>
              </w:rPr>
              <w:t xml:space="preserve"> a la DGC</w:t>
            </w:r>
            <w:r w:rsidR="002C7385" w:rsidRPr="00296E53">
              <w:rPr>
                <w:rFonts w:ascii="Century Gothic" w:eastAsia="Times New Roman" w:hAnsi="Century Gothic" w:cs="Arial"/>
                <w:color w:val="000000"/>
                <w:sz w:val="17"/>
                <w:szCs w:val="17"/>
                <w:lang w:val="en-US"/>
              </w:rPr>
              <w:t>S</w:t>
            </w:r>
            <w:r w:rsidRPr="00296E53">
              <w:rPr>
                <w:rFonts w:ascii="Century Gothic" w:eastAsia="Times New Roman" w:hAnsi="Century Gothic" w:cs="Arial"/>
                <w:color w:val="000000"/>
                <w:sz w:val="17"/>
                <w:szCs w:val="17"/>
                <w:lang w:val="en-US"/>
              </w:rPr>
              <w:t xml:space="preserve">NIEG </w:t>
            </w:r>
            <w:proofErr w:type="spellStart"/>
            <w:r w:rsidRPr="00296E53">
              <w:rPr>
                <w:rFonts w:ascii="Century Gothic" w:eastAsia="Times New Roman" w:hAnsi="Century Gothic" w:cs="Arial"/>
                <w:color w:val="000000"/>
                <w:sz w:val="17"/>
                <w:szCs w:val="17"/>
                <w:lang w:val="en-US"/>
              </w:rPr>
              <w:t>derivada</w:t>
            </w:r>
            <w:proofErr w:type="spellEnd"/>
            <w:r w:rsidRPr="00296E53">
              <w:rPr>
                <w:rFonts w:ascii="Century Gothic" w:eastAsia="Times New Roman" w:hAnsi="Century Gothic" w:cs="Arial"/>
                <w:color w:val="000000"/>
                <w:sz w:val="17"/>
                <w:szCs w:val="17"/>
                <w:lang w:val="en-US"/>
              </w:rPr>
              <w:t xml:space="preserve"> del P</w:t>
            </w:r>
            <w:r w:rsidR="002C7385" w:rsidRPr="00296E53">
              <w:rPr>
                <w:rFonts w:ascii="Century Gothic" w:eastAsia="Times New Roman" w:hAnsi="Century Gothic" w:cs="Arial"/>
                <w:color w:val="000000"/>
                <w:sz w:val="17"/>
                <w:szCs w:val="17"/>
                <w:lang w:val="en-US"/>
              </w:rPr>
              <w:t>-T</w:t>
            </w:r>
            <w:r w:rsidRPr="00296E53">
              <w:rPr>
                <w:rFonts w:ascii="Century Gothic" w:eastAsia="Times New Roman" w:hAnsi="Century Gothic" w:cs="Arial"/>
                <w:color w:val="000000"/>
                <w:sz w:val="17"/>
                <w:szCs w:val="17"/>
                <w:lang w:val="en-US"/>
              </w:rPr>
              <w:t>racking.</w:t>
            </w:r>
          </w:p>
        </w:tc>
      </w:tr>
      <w:tr w:rsidR="00FD0B66" w:rsidRPr="00296E53" w14:paraId="621ABC11" w14:textId="77777777" w:rsidTr="004433A7">
        <w:trPr>
          <w:trHeight w:val="20"/>
        </w:trPr>
        <w:tc>
          <w:tcPr>
            <w:tcW w:w="435" w:type="dxa"/>
            <w:tcBorders>
              <w:top w:val="nil"/>
              <w:left w:val="nil"/>
              <w:bottom w:val="nil"/>
              <w:right w:val="nil"/>
            </w:tcBorders>
            <w:shd w:val="clear" w:color="auto" w:fill="auto"/>
            <w:noWrap/>
            <w:vAlign w:val="bottom"/>
            <w:hideMark/>
          </w:tcPr>
          <w:p w14:paraId="00AF2CF6" w14:textId="77777777" w:rsidR="0091708F" w:rsidRPr="00296E53" w:rsidRDefault="0091708F" w:rsidP="0091708F">
            <w:pPr>
              <w:spacing w:after="0" w:line="240" w:lineRule="auto"/>
              <w:rPr>
                <w:rFonts w:ascii="Century Gothic" w:eastAsia="Times New Roman" w:hAnsi="Century Gothic" w:cs="Arial"/>
                <w:color w:val="000000"/>
                <w:sz w:val="17"/>
                <w:szCs w:val="17"/>
                <w:lang w:val="en-US"/>
              </w:rPr>
            </w:pPr>
          </w:p>
        </w:tc>
        <w:tc>
          <w:tcPr>
            <w:tcW w:w="4243" w:type="dxa"/>
            <w:tcBorders>
              <w:top w:val="nil"/>
              <w:left w:val="nil"/>
              <w:bottom w:val="single" w:sz="4" w:space="0" w:color="808080"/>
              <w:right w:val="nil"/>
            </w:tcBorders>
            <w:shd w:val="clear" w:color="auto" w:fill="auto"/>
            <w:vAlign w:val="center"/>
            <w:hideMark/>
          </w:tcPr>
          <w:p w14:paraId="5B5C8486" w14:textId="77777777" w:rsidR="0091708F" w:rsidRPr="00296E53" w:rsidRDefault="0091708F" w:rsidP="000A4B13">
            <w:pPr>
              <w:spacing w:after="0" w:line="240" w:lineRule="auto"/>
              <w:jc w:val="both"/>
              <w:rPr>
                <w:rFonts w:ascii="Century Gothic" w:eastAsia="Times New Roman" w:hAnsi="Century Gothic" w:cs="Arial"/>
                <w:sz w:val="17"/>
                <w:szCs w:val="17"/>
              </w:rPr>
            </w:pPr>
            <w:r w:rsidRPr="00296E53">
              <w:rPr>
                <w:rFonts w:ascii="Century Gothic" w:eastAsia="Times New Roman" w:hAnsi="Century Gothic" w:cs="Arial"/>
                <w:sz w:val="17"/>
                <w:szCs w:val="17"/>
              </w:rPr>
              <w:t>PROGRAMAS DE INFORMACIÓN INEGI QUE SE UTILIZAN UNICAMENTE COMO INSUMOS DE OTRO(S) PROGRAMAS INEGI</w:t>
            </w:r>
          </w:p>
        </w:tc>
        <w:tc>
          <w:tcPr>
            <w:tcW w:w="9497" w:type="dxa"/>
            <w:tcBorders>
              <w:top w:val="nil"/>
              <w:left w:val="nil"/>
              <w:bottom w:val="single" w:sz="4" w:space="0" w:color="808080"/>
              <w:right w:val="nil"/>
            </w:tcBorders>
            <w:shd w:val="clear" w:color="auto" w:fill="auto"/>
            <w:vAlign w:val="center"/>
            <w:hideMark/>
          </w:tcPr>
          <w:p w14:paraId="0754FA80" w14:textId="1944F58F" w:rsidR="0091708F" w:rsidRPr="00296E53" w:rsidRDefault="0091708F" w:rsidP="000A4B13">
            <w:pPr>
              <w:spacing w:after="0" w:line="240" w:lineRule="auto"/>
              <w:jc w:val="both"/>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Programas de información estadística y geográfica del INEGI identificados por el conjunto de Unidades Administrativas del INEGI en el marco del Comité de Aseguramiento de la Calidad (</w:t>
            </w:r>
            <w:proofErr w:type="spellStart"/>
            <w:r w:rsidRPr="00296E53">
              <w:rPr>
                <w:rFonts w:ascii="Century Gothic" w:eastAsia="Times New Roman" w:hAnsi="Century Gothic" w:cs="Arial"/>
                <w:color w:val="000000"/>
                <w:sz w:val="17"/>
                <w:szCs w:val="17"/>
              </w:rPr>
              <w:t>CoAC</w:t>
            </w:r>
            <w:proofErr w:type="spellEnd"/>
            <w:r w:rsidRPr="00296E53">
              <w:rPr>
                <w:rFonts w:ascii="Century Gothic" w:eastAsia="Times New Roman" w:hAnsi="Century Gothic" w:cs="Arial"/>
                <w:color w:val="000000"/>
                <w:sz w:val="17"/>
                <w:szCs w:val="17"/>
              </w:rPr>
              <w:t xml:space="preserve">) con estatus </w:t>
            </w:r>
            <w:r w:rsidRPr="00296E53">
              <w:rPr>
                <w:rFonts w:ascii="Century Gothic" w:eastAsia="Times New Roman" w:hAnsi="Century Gothic" w:cs="Arial"/>
                <w:i/>
                <w:color w:val="000000"/>
                <w:sz w:val="17"/>
                <w:szCs w:val="17"/>
              </w:rPr>
              <w:t>activo</w:t>
            </w:r>
            <w:r w:rsidRPr="00296E53">
              <w:rPr>
                <w:rFonts w:ascii="Century Gothic" w:eastAsia="Times New Roman" w:hAnsi="Century Gothic" w:cs="Arial"/>
                <w:color w:val="000000"/>
                <w:sz w:val="17"/>
                <w:szCs w:val="17"/>
              </w:rPr>
              <w:t xml:space="preserve"> y que se utilizan </w:t>
            </w:r>
            <w:r w:rsidR="002C7385" w:rsidRPr="00296E53">
              <w:rPr>
                <w:rFonts w:ascii="Century Gothic" w:eastAsia="Times New Roman" w:hAnsi="Century Gothic" w:cs="Arial"/>
                <w:color w:val="000000"/>
                <w:sz w:val="17"/>
                <w:szCs w:val="17"/>
              </w:rPr>
              <w:t>ú</w:t>
            </w:r>
            <w:r w:rsidRPr="00296E53">
              <w:rPr>
                <w:rFonts w:ascii="Century Gothic" w:eastAsia="Times New Roman" w:hAnsi="Century Gothic" w:cs="Arial"/>
                <w:color w:val="000000"/>
                <w:sz w:val="17"/>
                <w:szCs w:val="17"/>
              </w:rPr>
              <w:t>nicamente como insumo para otro(s) Programas de información del propio INEGI.</w:t>
            </w:r>
          </w:p>
        </w:tc>
      </w:tr>
      <w:tr w:rsidR="00FD0B66" w:rsidRPr="00296E53" w14:paraId="2EA5AFA7" w14:textId="77777777" w:rsidTr="004433A7">
        <w:trPr>
          <w:trHeight w:val="20"/>
        </w:trPr>
        <w:tc>
          <w:tcPr>
            <w:tcW w:w="435" w:type="dxa"/>
            <w:tcBorders>
              <w:top w:val="nil"/>
              <w:left w:val="nil"/>
              <w:bottom w:val="nil"/>
              <w:right w:val="nil"/>
            </w:tcBorders>
            <w:shd w:val="clear" w:color="auto" w:fill="auto"/>
            <w:noWrap/>
            <w:vAlign w:val="bottom"/>
            <w:hideMark/>
          </w:tcPr>
          <w:p w14:paraId="36ADC187" w14:textId="77777777" w:rsidR="0091708F" w:rsidRPr="00296E53" w:rsidRDefault="0091708F" w:rsidP="0091708F">
            <w:pPr>
              <w:spacing w:after="0" w:line="240" w:lineRule="auto"/>
              <w:rPr>
                <w:rFonts w:ascii="Century Gothic" w:eastAsia="Times New Roman" w:hAnsi="Century Gothic" w:cs="Arial"/>
                <w:color w:val="000000"/>
                <w:sz w:val="17"/>
                <w:szCs w:val="17"/>
              </w:rPr>
            </w:pPr>
          </w:p>
        </w:tc>
        <w:tc>
          <w:tcPr>
            <w:tcW w:w="4243" w:type="dxa"/>
            <w:tcBorders>
              <w:top w:val="nil"/>
              <w:left w:val="nil"/>
              <w:bottom w:val="nil"/>
              <w:right w:val="nil"/>
            </w:tcBorders>
            <w:shd w:val="clear" w:color="auto" w:fill="auto"/>
            <w:vAlign w:val="center"/>
            <w:hideMark/>
          </w:tcPr>
          <w:p w14:paraId="42E61A5B" w14:textId="77777777" w:rsidR="0091708F" w:rsidRPr="00296E53" w:rsidRDefault="0091708F" w:rsidP="000A4B13">
            <w:pPr>
              <w:spacing w:after="0" w:line="240" w:lineRule="auto"/>
              <w:jc w:val="both"/>
              <w:rPr>
                <w:rFonts w:ascii="Century Gothic" w:eastAsia="Times New Roman" w:hAnsi="Century Gothic" w:cs="Arial"/>
                <w:sz w:val="17"/>
                <w:szCs w:val="17"/>
              </w:rPr>
            </w:pPr>
            <w:r w:rsidRPr="00296E53">
              <w:rPr>
                <w:rFonts w:ascii="Century Gothic" w:eastAsia="Times New Roman" w:hAnsi="Century Gothic" w:cs="Arial"/>
                <w:sz w:val="17"/>
                <w:szCs w:val="17"/>
              </w:rPr>
              <w:t xml:space="preserve">PROGRAMAS DE INFORMACIÓN INEGI QUE SE UTILIZAN COMO INSUMOS DE OTRO(S) PROGRAMAS INEGI Y EN ALGÚN OTRO REFERENTE (POR </w:t>
            </w:r>
            <w:proofErr w:type="gramStart"/>
            <w:r w:rsidRPr="00296E53">
              <w:rPr>
                <w:rFonts w:ascii="Century Gothic" w:eastAsia="Times New Roman" w:hAnsi="Century Gothic" w:cs="Arial"/>
                <w:sz w:val="17"/>
                <w:szCs w:val="17"/>
              </w:rPr>
              <w:t>EJEMPLO</w:t>
            </w:r>
            <w:proofErr w:type="gramEnd"/>
            <w:r w:rsidRPr="00296E53">
              <w:rPr>
                <w:rFonts w:ascii="Century Gothic" w:eastAsia="Times New Roman" w:hAnsi="Century Gothic" w:cs="Arial"/>
                <w:sz w:val="17"/>
                <w:szCs w:val="17"/>
              </w:rPr>
              <w:t xml:space="preserve"> EN LA PÁGINA INEGI, INDICADORES ODS, PROGRAMAS DERIVADOS DEL PND) </w:t>
            </w:r>
          </w:p>
        </w:tc>
        <w:tc>
          <w:tcPr>
            <w:tcW w:w="9497" w:type="dxa"/>
            <w:tcBorders>
              <w:top w:val="nil"/>
              <w:left w:val="nil"/>
              <w:bottom w:val="nil"/>
              <w:right w:val="nil"/>
            </w:tcBorders>
            <w:shd w:val="clear" w:color="auto" w:fill="auto"/>
            <w:vAlign w:val="center"/>
            <w:hideMark/>
          </w:tcPr>
          <w:p w14:paraId="108DE563" w14:textId="5155FFEA" w:rsidR="0091708F" w:rsidRPr="00296E53" w:rsidRDefault="0091708F" w:rsidP="000A4B13">
            <w:pPr>
              <w:spacing w:after="0" w:line="240" w:lineRule="auto"/>
              <w:jc w:val="both"/>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Programas de información estadística y geográfica del INEGI identificados por el conjunto de Unidades Administrativas del INEGI en el marco del Comité de Aseguramiento de la Calidad (</w:t>
            </w:r>
            <w:proofErr w:type="spellStart"/>
            <w:r w:rsidRPr="00296E53">
              <w:rPr>
                <w:rFonts w:ascii="Century Gothic" w:eastAsia="Times New Roman" w:hAnsi="Century Gothic" w:cs="Arial"/>
                <w:color w:val="000000"/>
                <w:sz w:val="17"/>
                <w:szCs w:val="17"/>
              </w:rPr>
              <w:t>CoAC</w:t>
            </w:r>
            <w:proofErr w:type="spellEnd"/>
            <w:r w:rsidRPr="00296E53">
              <w:rPr>
                <w:rFonts w:ascii="Century Gothic" w:eastAsia="Times New Roman" w:hAnsi="Century Gothic" w:cs="Arial"/>
                <w:color w:val="000000"/>
                <w:sz w:val="17"/>
                <w:szCs w:val="17"/>
              </w:rPr>
              <w:t xml:space="preserve">) con estatus </w:t>
            </w:r>
            <w:r w:rsidRPr="00296E53">
              <w:rPr>
                <w:rFonts w:ascii="Century Gothic" w:eastAsia="Times New Roman" w:hAnsi="Century Gothic" w:cs="Arial"/>
                <w:i/>
                <w:color w:val="000000"/>
                <w:sz w:val="17"/>
                <w:szCs w:val="17"/>
              </w:rPr>
              <w:t>activo</w:t>
            </w:r>
            <w:r w:rsidRPr="00296E53">
              <w:rPr>
                <w:rFonts w:ascii="Century Gothic" w:eastAsia="Times New Roman" w:hAnsi="Century Gothic" w:cs="Arial"/>
                <w:color w:val="000000"/>
                <w:sz w:val="17"/>
                <w:szCs w:val="17"/>
              </w:rPr>
              <w:t xml:space="preserve">. Se excluyen aquellos que </w:t>
            </w:r>
            <w:r w:rsidR="0076337C" w:rsidRPr="00296E53">
              <w:rPr>
                <w:rFonts w:ascii="Century Gothic" w:eastAsia="Times New Roman" w:hAnsi="Century Gothic" w:cs="Arial"/>
                <w:color w:val="000000"/>
                <w:sz w:val="17"/>
                <w:szCs w:val="17"/>
              </w:rPr>
              <w:t>ú</w:t>
            </w:r>
            <w:r w:rsidRPr="00296E53">
              <w:rPr>
                <w:rFonts w:ascii="Century Gothic" w:eastAsia="Times New Roman" w:hAnsi="Century Gothic" w:cs="Arial"/>
                <w:color w:val="000000"/>
                <w:sz w:val="17"/>
                <w:szCs w:val="17"/>
              </w:rPr>
              <w:t>nicamente se utilizan como insumo para otro(s) Programas de información del propio INEGI.</w:t>
            </w:r>
          </w:p>
        </w:tc>
      </w:tr>
      <w:tr w:rsidR="00872FE8" w:rsidRPr="00296E53" w14:paraId="55480A9C" w14:textId="77777777" w:rsidTr="004433A7">
        <w:trPr>
          <w:trHeight w:val="20"/>
        </w:trPr>
        <w:tc>
          <w:tcPr>
            <w:tcW w:w="4678" w:type="dxa"/>
            <w:gridSpan w:val="2"/>
            <w:tcBorders>
              <w:top w:val="single" w:sz="4" w:space="0" w:color="auto"/>
              <w:left w:val="nil"/>
              <w:bottom w:val="single" w:sz="4" w:space="0" w:color="auto"/>
              <w:right w:val="nil"/>
            </w:tcBorders>
            <w:shd w:val="clear" w:color="auto" w:fill="auto"/>
            <w:noWrap/>
            <w:vAlign w:val="center"/>
            <w:hideMark/>
          </w:tcPr>
          <w:p w14:paraId="25506559" w14:textId="617307BA" w:rsidR="0091708F" w:rsidRPr="00296E53" w:rsidRDefault="0091708F" w:rsidP="000A4B13">
            <w:pPr>
              <w:spacing w:after="0" w:line="240" w:lineRule="auto"/>
              <w:jc w:val="both"/>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B.</w:t>
            </w:r>
            <w:r w:rsidR="00FE2147">
              <w:rPr>
                <w:rFonts w:ascii="Century Gothic" w:eastAsia="Times New Roman" w:hAnsi="Century Gothic" w:cs="Arial"/>
                <w:color w:val="000000"/>
                <w:sz w:val="17"/>
                <w:szCs w:val="17"/>
                <w:lang w:val="en-US"/>
              </w:rPr>
              <w:t xml:space="preserve"> </w:t>
            </w:r>
            <w:r w:rsidRPr="00296E53">
              <w:rPr>
                <w:rFonts w:ascii="Century Gothic" w:eastAsia="Times New Roman" w:hAnsi="Century Gothic" w:cs="Arial"/>
                <w:color w:val="000000"/>
                <w:sz w:val="17"/>
                <w:szCs w:val="17"/>
                <w:lang w:val="en-US"/>
              </w:rPr>
              <w:t>REFERENTES DE USO</w:t>
            </w:r>
          </w:p>
        </w:tc>
        <w:tc>
          <w:tcPr>
            <w:tcW w:w="9497" w:type="dxa"/>
            <w:tcBorders>
              <w:top w:val="single" w:sz="4" w:space="0" w:color="auto"/>
              <w:left w:val="nil"/>
              <w:bottom w:val="single" w:sz="4" w:space="0" w:color="auto"/>
              <w:right w:val="nil"/>
            </w:tcBorders>
            <w:shd w:val="clear" w:color="auto" w:fill="auto"/>
            <w:noWrap/>
            <w:vAlign w:val="bottom"/>
            <w:hideMark/>
          </w:tcPr>
          <w:p w14:paraId="184CCC58" w14:textId="77777777" w:rsidR="0091708F" w:rsidRPr="00296E53" w:rsidRDefault="0091708F" w:rsidP="000A4B13">
            <w:pPr>
              <w:spacing w:after="0" w:line="240" w:lineRule="auto"/>
              <w:ind w:firstLineChars="100" w:firstLine="170"/>
              <w:jc w:val="both"/>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 </w:t>
            </w:r>
          </w:p>
        </w:tc>
      </w:tr>
      <w:tr w:rsidR="00FD0B66" w:rsidRPr="00296E53" w14:paraId="6AC012D2" w14:textId="77777777" w:rsidTr="004433A7">
        <w:trPr>
          <w:trHeight w:val="20"/>
        </w:trPr>
        <w:tc>
          <w:tcPr>
            <w:tcW w:w="435" w:type="dxa"/>
            <w:tcBorders>
              <w:top w:val="nil"/>
              <w:left w:val="nil"/>
              <w:bottom w:val="nil"/>
              <w:right w:val="nil"/>
            </w:tcBorders>
            <w:shd w:val="clear" w:color="auto" w:fill="auto"/>
            <w:noWrap/>
            <w:vAlign w:val="bottom"/>
            <w:hideMark/>
          </w:tcPr>
          <w:p w14:paraId="47CBD6D1" w14:textId="77777777" w:rsidR="0091708F" w:rsidRPr="00296E53" w:rsidRDefault="0091708F" w:rsidP="0091708F">
            <w:pPr>
              <w:spacing w:after="0" w:line="240" w:lineRule="auto"/>
              <w:ind w:firstLineChars="100" w:firstLine="170"/>
              <w:rPr>
                <w:rFonts w:ascii="Century Gothic" w:eastAsia="Times New Roman" w:hAnsi="Century Gothic" w:cs="Times New Roman"/>
                <w:sz w:val="17"/>
                <w:szCs w:val="17"/>
                <w:lang w:val="en-US"/>
              </w:rPr>
            </w:pPr>
          </w:p>
        </w:tc>
        <w:tc>
          <w:tcPr>
            <w:tcW w:w="4243" w:type="dxa"/>
            <w:tcBorders>
              <w:top w:val="nil"/>
              <w:left w:val="nil"/>
              <w:bottom w:val="single" w:sz="4" w:space="0" w:color="808080"/>
              <w:right w:val="nil"/>
            </w:tcBorders>
            <w:shd w:val="clear" w:color="auto" w:fill="auto"/>
            <w:vAlign w:val="center"/>
            <w:hideMark/>
          </w:tcPr>
          <w:p w14:paraId="71FCE916" w14:textId="77777777" w:rsidR="0091708F" w:rsidRPr="00296E53" w:rsidRDefault="0091708F" w:rsidP="000A4B13">
            <w:pPr>
              <w:spacing w:after="0" w:line="240" w:lineRule="auto"/>
              <w:jc w:val="both"/>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INDICADORES CLAVE</w:t>
            </w:r>
          </w:p>
        </w:tc>
        <w:tc>
          <w:tcPr>
            <w:tcW w:w="9497" w:type="dxa"/>
            <w:tcBorders>
              <w:top w:val="nil"/>
              <w:left w:val="nil"/>
              <w:bottom w:val="single" w:sz="4" w:space="0" w:color="808080"/>
              <w:right w:val="nil"/>
            </w:tcBorders>
            <w:shd w:val="clear" w:color="auto" w:fill="auto"/>
            <w:vAlign w:val="center"/>
            <w:hideMark/>
          </w:tcPr>
          <w:p w14:paraId="0E86F70B" w14:textId="77777777" w:rsidR="0091708F" w:rsidRPr="00296E53" w:rsidRDefault="0091708F" w:rsidP="000A4B13">
            <w:pPr>
              <w:spacing w:after="0" w:line="240" w:lineRule="auto"/>
              <w:jc w:val="both"/>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 xml:space="preserve">Datos obtenidos de la consulta por Fuente/Proyecto del Catálogo Nacional de Indicadores https://www.snieg.mx/cni/indicadores.aspx?idOrden=1.3. </w:t>
            </w:r>
          </w:p>
        </w:tc>
      </w:tr>
      <w:tr w:rsidR="00FD0B66" w:rsidRPr="00296E53" w14:paraId="212F325E" w14:textId="77777777" w:rsidTr="004433A7">
        <w:trPr>
          <w:trHeight w:val="20"/>
        </w:trPr>
        <w:tc>
          <w:tcPr>
            <w:tcW w:w="435" w:type="dxa"/>
            <w:tcBorders>
              <w:top w:val="nil"/>
              <w:left w:val="nil"/>
              <w:bottom w:val="nil"/>
              <w:right w:val="nil"/>
            </w:tcBorders>
            <w:shd w:val="clear" w:color="auto" w:fill="auto"/>
            <w:noWrap/>
            <w:vAlign w:val="bottom"/>
            <w:hideMark/>
          </w:tcPr>
          <w:p w14:paraId="659EFA79" w14:textId="77777777" w:rsidR="0091708F" w:rsidRPr="00296E53" w:rsidRDefault="0091708F" w:rsidP="0091708F">
            <w:pPr>
              <w:spacing w:after="0" w:line="240" w:lineRule="auto"/>
              <w:ind w:firstLineChars="100" w:firstLine="170"/>
              <w:rPr>
                <w:rFonts w:ascii="Century Gothic" w:eastAsia="Times New Roman" w:hAnsi="Century Gothic" w:cs="Arial"/>
                <w:color w:val="000000"/>
                <w:sz w:val="17"/>
                <w:szCs w:val="17"/>
              </w:rPr>
            </w:pPr>
          </w:p>
        </w:tc>
        <w:tc>
          <w:tcPr>
            <w:tcW w:w="4243" w:type="dxa"/>
            <w:tcBorders>
              <w:top w:val="nil"/>
              <w:left w:val="nil"/>
              <w:bottom w:val="single" w:sz="4" w:space="0" w:color="808080"/>
              <w:right w:val="nil"/>
            </w:tcBorders>
            <w:shd w:val="clear" w:color="auto" w:fill="auto"/>
            <w:vAlign w:val="center"/>
            <w:hideMark/>
          </w:tcPr>
          <w:p w14:paraId="1EFBDB49" w14:textId="77777777" w:rsidR="0091708F" w:rsidRPr="00296E53" w:rsidRDefault="0091708F" w:rsidP="000A4B13">
            <w:pPr>
              <w:spacing w:after="0" w:line="240" w:lineRule="auto"/>
              <w:jc w:val="both"/>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INDICADORES ODS</w:t>
            </w:r>
          </w:p>
        </w:tc>
        <w:tc>
          <w:tcPr>
            <w:tcW w:w="9497" w:type="dxa"/>
            <w:tcBorders>
              <w:top w:val="nil"/>
              <w:left w:val="nil"/>
              <w:bottom w:val="single" w:sz="4" w:space="0" w:color="808080"/>
              <w:right w:val="nil"/>
            </w:tcBorders>
            <w:shd w:val="clear" w:color="auto" w:fill="auto"/>
            <w:vAlign w:val="center"/>
            <w:hideMark/>
          </w:tcPr>
          <w:p w14:paraId="3F184581" w14:textId="77777777" w:rsidR="0091708F" w:rsidRPr="00296E53" w:rsidRDefault="0091708F" w:rsidP="000A4B13">
            <w:pPr>
              <w:spacing w:after="0" w:line="240" w:lineRule="auto"/>
              <w:jc w:val="both"/>
              <w:rPr>
                <w:rFonts w:ascii="Century Gothic" w:eastAsia="Times New Roman" w:hAnsi="Century Gothic" w:cs="Arial"/>
                <w:sz w:val="17"/>
                <w:szCs w:val="17"/>
              </w:rPr>
            </w:pPr>
            <w:r w:rsidRPr="00296E53">
              <w:rPr>
                <w:rFonts w:ascii="Century Gothic" w:eastAsia="Times New Roman" w:hAnsi="Century Gothic" w:cs="Arial"/>
                <w:sz w:val="17"/>
                <w:szCs w:val="17"/>
              </w:rPr>
              <w:t xml:space="preserve">Con base en los archivos de metadatos de indicadores descargados del sitio http://agenda2030.mx/#/home. </w:t>
            </w:r>
          </w:p>
        </w:tc>
      </w:tr>
      <w:tr w:rsidR="00FD0B66" w:rsidRPr="00296E53" w14:paraId="4F32FCF8" w14:textId="77777777" w:rsidTr="004433A7">
        <w:trPr>
          <w:trHeight w:val="20"/>
        </w:trPr>
        <w:tc>
          <w:tcPr>
            <w:tcW w:w="435" w:type="dxa"/>
            <w:tcBorders>
              <w:top w:val="nil"/>
              <w:left w:val="nil"/>
              <w:bottom w:val="nil"/>
              <w:right w:val="nil"/>
            </w:tcBorders>
            <w:shd w:val="clear" w:color="auto" w:fill="auto"/>
            <w:noWrap/>
            <w:vAlign w:val="bottom"/>
            <w:hideMark/>
          </w:tcPr>
          <w:p w14:paraId="2AAC0516" w14:textId="77777777" w:rsidR="0091708F" w:rsidRPr="00296E53" w:rsidRDefault="0091708F" w:rsidP="0091708F">
            <w:pPr>
              <w:spacing w:after="0" w:line="240" w:lineRule="auto"/>
              <w:ind w:firstLineChars="100" w:firstLine="170"/>
              <w:rPr>
                <w:rFonts w:ascii="Century Gothic" w:eastAsia="Times New Roman" w:hAnsi="Century Gothic" w:cs="Arial"/>
                <w:sz w:val="17"/>
                <w:szCs w:val="17"/>
              </w:rPr>
            </w:pPr>
          </w:p>
        </w:tc>
        <w:tc>
          <w:tcPr>
            <w:tcW w:w="4243" w:type="dxa"/>
            <w:tcBorders>
              <w:top w:val="nil"/>
              <w:left w:val="nil"/>
              <w:bottom w:val="single" w:sz="4" w:space="0" w:color="808080"/>
              <w:right w:val="nil"/>
            </w:tcBorders>
            <w:shd w:val="clear" w:color="auto" w:fill="auto"/>
            <w:vAlign w:val="center"/>
            <w:hideMark/>
          </w:tcPr>
          <w:p w14:paraId="244BD4AA" w14:textId="77777777" w:rsidR="0091708F" w:rsidRPr="00296E53" w:rsidRDefault="0091708F" w:rsidP="000A4B13">
            <w:pPr>
              <w:spacing w:after="0" w:line="240" w:lineRule="auto"/>
              <w:jc w:val="both"/>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USUARIOS PÁGINA INEGI</w:t>
            </w:r>
          </w:p>
        </w:tc>
        <w:tc>
          <w:tcPr>
            <w:tcW w:w="9497" w:type="dxa"/>
            <w:tcBorders>
              <w:top w:val="nil"/>
              <w:left w:val="nil"/>
              <w:bottom w:val="single" w:sz="4" w:space="0" w:color="808080"/>
              <w:right w:val="nil"/>
            </w:tcBorders>
            <w:shd w:val="clear" w:color="auto" w:fill="auto"/>
            <w:vAlign w:val="center"/>
            <w:hideMark/>
          </w:tcPr>
          <w:p w14:paraId="0C2A5607" w14:textId="77777777" w:rsidR="0091708F" w:rsidRPr="00296E53" w:rsidRDefault="0091708F" w:rsidP="000A4B13">
            <w:pPr>
              <w:spacing w:after="0" w:line="240" w:lineRule="auto"/>
              <w:jc w:val="both"/>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Consulta realizada a la DGCSPIRI del INEGI.</w:t>
            </w:r>
          </w:p>
        </w:tc>
      </w:tr>
      <w:tr w:rsidR="00FD0B66" w:rsidRPr="00296E53" w14:paraId="2B80CC7C" w14:textId="77777777" w:rsidTr="004433A7">
        <w:trPr>
          <w:trHeight w:val="20"/>
        </w:trPr>
        <w:tc>
          <w:tcPr>
            <w:tcW w:w="435" w:type="dxa"/>
            <w:tcBorders>
              <w:top w:val="nil"/>
              <w:left w:val="nil"/>
              <w:bottom w:val="nil"/>
              <w:right w:val="nil"/>
            </w:tcBorders>
            <w:shd w:val="clear" w:color="auto" w:fill="auto"/>
            <w:noWrap/>
            <w:vAlign w:val="bottom"/>
            <w:hideMark/>
          </w:tcPr>
          <w:p w14:paraId="721F994C" w14:textId="77777777" w:rsidR="0091708F" w:rsidRPr="00296E53" w:rsidRDefault="0091708F" w:rsidP="0091708F">
            <w:pPr>
              <w:spacing w:after="0" w:line="240" w:lineRule="auto"/>
              <w:ind w:firstLineChars="100" w:firstLine="170"/>
              <w:rPr>
                <w:rFonts w:ascii="Century Gothic" w:eastAsia="Times New Roman" w:hAnsi="Century Gothic" w:cs="Arial"/>
                <w:color w:val="000000"/>
                <w:sz w:val="17"/>
                <w:szCs w:val="17"/>
              </w:rPr>
            </w:pPr>
          </w:p>
        </w:tc>
        <w:tc>
          <w:tcPr>
            <w:tcW w:w="4243" w:type="dxa"/>
            <w:tcBorders>
              <w:top w:val="nil"/>
              <w:left w:val="nil"/>
              <w:bottom w:val="single" w:sz="4" w:space="0" w:color="808080"/>
              <w:right w:val="nil"/>
            </w:tcBorders>
            <w:shd w:val="clear" w:color="auto" w:fill="auto"/>
            <w:vAlign w:val="center"/>
            <w:hideMark/>
          </w:tcPr>
          <w:p w14:paraId="4148E555" w14:textId="77777777" w:rsidR="0091708F" w:rsidRPr="00296E53" w:rsidRDefault="0091708F" w:rsidP="000A4B13">
            <w:pPr>
              <w:spacing w:after="0" w:line="240" w:lineRule="auto"/>
              <w:jc w:val="both"/>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LABORATORIO DE MICRODATOS</w:t>
            </w:r>
          </w:p>
        </w:tc>
        <w:tc>
          <w:tcPr>
            <w:tcW w:w="9497" w:type="dxa"/>
            <w:tcBorders>
              <w:top w:val="nil"/>
              <w:left w:val="nil"/>
              <w:bottom w:val="single" w:sz="4" w:space="0" w:color="808080"/>
              <w:right w:val="nil"/>
            </w:tcBorders>
            <w:shd w:val="clear" w:color="auto" w:fill="auto"/>
            <w:vAlign w:val="center"/>
            <w:hideMark/>
          </w:tcPr>
          <w:p w14:paraId="2492B6F0" w14:textId="058D2D12" w:rsidR="0091708F" w:rsidRPr="00296E53" w:rsidRDefault="0091708F" w:rsidP="000A4B13">
            <w:pPr>
              <w:spacing w:after="0" w:line="240" w:lineRule="auto"/>
              <w:jc w:val="both"/>
              <w:rPr>
                <w:rFonts w:ascii="Century Gothic" w:eastAsia="Times New Roman" w:hAnsi="Century Gothic" w:cs="Arial"/>
                <w:sz w:val="17"/>
                <w:szCs w:val="17"/>
              </w:rPr>
            </w:pPr>
            <w:r w:rsidRPr="00296E53">
              <w:rPr>
                <w:rFonts w:ascii="Century Gothic" w:eastAsia="Times New Roman" w:hAnsi="Century Gothic" w:cs="Arial"/>
                <w:sz w:val="17"/>
                <w:szCs w:val="17"/>
              </w:rPr>
              <w:t>A partir de consulta al área</w:t>
            </w:r>
            <w:r w:rsidR="00D93874" w:rsidRPr="00296E53">
              <w:rPr>
                <w:rFonts w:ascii="Century Gothic" w:eastAsia="Times New Roman" w:hAnsi="Century Gothic" w:cs="Arial"/>
                <w:sz w:val="17"/>
                <w:szCs w:val="17"/>
              </w:rPr>
              <w:t xml:space="preserve"> responsable del laboratorio</w:t>
            </w:r>
            <w:r w:rsidRPr="00296E53">
              <w:rPr>
                <w:rFonts w:ascii="Century Gothic" w:eastAsia="Times New Roman" w:hAnsi="Century Gothic" w:cs="Arial"/>
                <w:sz w:val="17"/>
                <w:szCs w:val="17"/>
              </w:rPr>
              <w:t xml:space="preserve"> y reporte generado mediante el Sistema automatizado de gestión de Servicios de Acceso a las Microdatos (SAM). Incluye: Laboratorio de microdatos y Servicio de Procesamiento remoto. No incluye las consultas de Microdatos disponibles en el Portal INEGI.</w:t>
            </w:r>
          </w:p>
        </w:tc>
      </w:tr>
      <w:tr w:rsidR="00FD0B66" w:rsidRPr="00296E53" w14:paraId="217F6F4F" w14:textId="77777777" w:rsidTr="004433A7">
        <w:trPr>
          <w:trHeight w:val="20"/>
        </w:trPr>
        <w:tc>
          <w:tcPr>
            <w:tcW w:w="435" w:type="dxa"/>
            <w:tcBorders>
              <w:top w:val="nil"/>
              <w:left w:val="nil"/>
              <w:bottom w:val="nil"/>
              <w:right w:val="nil"/>
            </w:tcBorders>
            <w:shd w:val="clear" w:color="auto" w:fill="auto"/>
            <w:noWrap/>
            <w:vAlign w:val="bottom"/>
            <w:hideMark/>
          </w:tcPr>
          <w:p w14:paraId="07318CD6" w14:textId="77777777" w:rsidR="0091708F" w:rsidRPr="00296E53" w:rsidRDefault="0091708F" w:rsidP="0091708F">
            <w:pPr>
              <w:spacing w:after="0" w:line="240" w:lineRule="auto"/>
              <w:ind w:firstLineChars="100" w:firstLine="170"/>
              <w:rPr>
                <w:rFonts w:ascii="Century Gothic" w:eastAsia="Times New Roman" w:hAnsi="Century Gothic" w:cs="Arial"/>
                <w:sz w:val="17"/>
                <w:szCs w:val="17"/>
              </w:rPr>
            </w:pPr>
          </w:p>
        </w:tc>
        <w:tc>
          <w:tcPr>
            <w:tcW w:w="4243" w:type="dxa"/>
            <w:tcBorders>
              <w:top w:val="nil"/>
              <w:left w:val="nil"/>
              <w:bottom w:val="single" w:sz="4" w:space="0" w:color="808080"/>
              <w:right w:val="nil"/>
            </w:tcBorders>
            <w:shd w:val="clear" w:color="auto" w:fill="auto"/>
            <w:vAlign w:val="center"/>
            <w:hideMark/>
          </w:tcPr>
          <w:p w14:paraId="12F4B4C7" w14:textId="77777777" w:rsidR="0091708F" w:rsidRPr="00296E53" w:rsidRDefault="0091708F" w:rsidP="000A4B13">
            <w:pPr>
              <w:spacing w:after="0" w:line="240" w:lineRule="auto"/>
              <w:jc w:val="both"/>
              <w:rPr>
                <w:rFonts w:ascii="Century Gothic" w:eastAsia="Times New Roman" w:hAnsi="Century Gothic" w:cs="Arial"/>
                <w:sz w:val="17"/>
                <w:szCs w:val="17"/>
              </w:rPr>
            </w:pPr>
            <w:r w:rsidRPr="00296E53">
              <w:rPr>
                <w:rFonts w:ascii="Century Gothic" w:eastAsia="Times New Roman" w:hAnsi="Century Gothic" w:cs="Arial"/>
                <w:sz w:val="17"/>
                <w:szCs w:val="17"/>
              </w:rPr>
              <w:t xml:space="preserve">PND-METAS (VERSIÓN PUBLICADA EN EL </w:t>
            </w:r>
            <w:r w:rsidR="00872FE8" w:rsidRPr="00296E53">
              <w:rPr>
                <w:rFonts w:ascii="Century Gothic" w:eastAsia="Times New Roman" w:hAnsi="Century Gothic" w:cs="Arial"/>
                <w:sz w:val="17"/>
                <w:szCs w:val="17"/>
              </w:rPr>
              <w:t>DIARIO OFICIAL DE LA FEDERACIÓN</w:t>
            </w:r>
            <w:r w:rsidRPr="00296E53">
              <w:rPr>
                <w:rFonts w:ascii="Century Gothic" w:eastAsia="Times New Roman" w:hAnsi="Century Gothic" w:cs="Arial"/>
                <w:sz w:val="17"/>
                <w:szCs w:val="17"/>
              </w:rPr>
              <w:t xml:space="preserve"> </w:t>
            </w:r>
          </w:p>
        </w:tc>
        <w:tc>
          <w:tcPr>
            <w:tcW w:w="9497" w:type="dxa"/>
            <w:tcBorders>
              <w:top w:val="nil"/>
              <w:left w:val="nil"/>
              <w:bottom w:val="single" w:sz="4" w:space="0" w:color="808080"/>
              <w:right w:val="nil"/>
            </w:tcBorders>
            <w:shd w:val="clear" w:color="auto" w:fill="auto"/>
            <w:vAlign w:val="center"/>
            <w:hideMark/>
          </w:tcPr>
          <w:p w14:paraId="50C7F143" w14:textId="1406AEE9" w:rsidR="0091708F" w:rsidRPr="00296E53" w:rsidRDefault="0091708F" w:rsidP="000A4B13">
            <w:pPr>
              <w:spacing w:after="0" w:line="240" w:lineRule="auto"/>
              <w:jc w:val="both"/>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 xml:space="preserve">Este referente se estimó con base en un análisis conceptual de las metas del PND, puesto que no existen indicadores definidos en el Plan Nacional de Desarrollo 2019-2024. El uso de Programas de información en este referente se captó en consulta realizada a las Unidades Administrativas a cargo de Programas de información del INEGI. </w:t>
            </w:r>
          </w:p>
        </w:tc>
      </w:tr>
      <w:tr w:rsidR="00FD0B66" w:rsidRPr="00296E53" w14:paraId="26F42F08" w14:textId="77777777" w:rsidTr="004433A7">
        <w:trPr>
          <w:trHeight w:val="20"/>
        </w:trPr>
        <w:tc>
          <w:tcPr>
            <w:tcW w:w="435" w:type="dxa"/>
            <w:tcBorders>
              <w:top w:val="nil"/>
              <w:left w:val="nil"/>
              <w:bottom w:val="nil"/>
              <w:right w:val="nil"/>
            </w:tcBorders>
            <w:shd w:val="clear" w:color="auto" w:fill="auto"/>
            <w:noWrap/>
            <w:vAlign w:val="bottom"/>
            <w:hideMark/>
          </w:tcPr>
          <w:p w14:paraId="30DDE69E" w14:textId="77777777" w:rsidR="0091708F" w:rsidRPr="00296E53" w:rsidRDefault="0091708F" w:rsidP="0091708F">
            <w:pPr>
              <w:spacing w:after="0" w:line="240" w:lineRule="auto"/>
              <w:ind w:firstLineChars="100" w:firstLine="170"/>
              <w:rPr>
                <w:rFonts w:ascii="Century Gothic" w:eastAsia="Times New Roman" w:hAnsi="Century Gothic" w:cs="Arial"/>
                <w:color w:val="000000"/>
                <w:sz w:val="17"/>
                <w:szCs w:val="17"/>
              </w:rPr>
            </w:pPr>
          </w:p>
        </w:tc>
        <w:tc>
          <w:tcPr>
            <w:tcW w:w="4243" w:type="dxa"/>
            <w:tcBorders>
              <w:top w:val="nil"/>
              <w:left w:val="nil"/>
              <w:bottom w:val="single" w:sz="4" w:space="0" w:color="808080"/>
              <w:right w:val="nil"/>
            </w:tcBorders>
            <w:shd w:val="clear" w:color="auto" w:fill="auto"/>
            <w:vAlign w:val="center"/>
            <w:hideMark/>
          </w:tcPr>
          <w:p w14:paraId="4BE508B9" w14:textId="77777777" w:rsidR="0091708F" w:rsidRPr="00296E53" w:rsidRDefault="0091708F" w:rsidP="000A4B13">
            <w:pPr>
              <w:spacing w:after="0" w:line="240" w:lineRule="auto"/>
              <w:jc w:val="both"/>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TRATADOS INTERNACIONALES</w:t>
            </w:r>
          </w:p>
        </w:tc>
        <w:tc>
          <w:tcPr>
            <w:tcW w:w="9497" w:type="dxa"/>
            <w:vMerge w:val="restart"/>
            <w:tcBorders>
              <w:top w:val="nil"/>
              <w:left w:val="nil"/>
              <w:bottom w:val="single" w:sz="4" w:space="0" w:color="000000"/>
              <w:right w:val="nil"/>
            </w:tcBorders>
            <w:shd w:val="clear" w:color="auto" w:fill="auto"/>
            <w:vAlign w:val="center"/>
            <w:hideMark/>
          </w:tcPr>
          <w:p w14:paraId="2C8C8C6E" w14:textId="5F70C9EE" w:rsidR="0091708F" w:rsidRPr="00296E53" w:rsidRDefault="0091708F" w:rsidP="000A4B13">
            <w:pPr>
              <w:spacing w:after="0" w:line="240" w:lineRule="auto"/>
              <w:jc w:val="both"/>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Inventario de Demandas de Información Estadística y Geográfica (IDIEG). Se tomaron en cuenta los datos de las columnas "Fuente de información", Usa información INEGI" y "Usa Información de Interés Nacional", de las categorías "TRATADOS", "LEYES", y "PROGRAMAS", respectivamente.</w:t>
            </w:r>
          </w:p>
        </w:tc>
      </w:tr>
      <w:tr w:rsidR="00FD0B66" w:rsidRPr="00296E53" w14:paraId="109B5D06" w14:textId="77777777" w:rsidTr="004433A7">
        <w:trPr>
          <w:trHeight w:val="20"/>
        </w:trPr>
        <w:tc>
          <w:tcPr>
            <w:tcW w:w="435" w:type="dxa"/>
            <w:tcBorders>
              <w:top w:val="nil"/>
              <w:left w:val="nil"/>
              <w:bottom w:val="nil"/>
              <w:right w:val="nil"/>
            </w:tcBorders>
            <w:shd w:val="clear" w:color="auto" w:fill="auto"/>
            <w:noWrap/>
            <w:vAlign w:val="bottom"/>
            <w:hideMark/>
          </w:tcPr>
          <w:p w14:paraId="00BCFBEF" w14:textId="77777777" w:rsidR="0091708F" w:rsidRPr="00296E53" w:rsidRDefault="0091708F" w:rsidP="0091708F">
            <w:pPr>
              <w:spacing w:after="0" w:line="240" w:lineRule="auto"/>
              <w:rPr>
                <w:rFonts w:ascii="Century Gothic" w:eastAsia="Times New Roman" w:hAnsi="Century Gothic" w:cs="Arial"/>
                <w:color w:val="000000"/>
                <w:sz w:val="17"/>
                <w:szCs w:val="17"/>
              </w:rPr>
            </w:pPr>
          </w:p>
        </w:tc>
        <w:tc>
          <w:tcPr>
            <w:tcW w:w="4243" w:type="dxa"/>
            <w:tcBorders>
              <w:top w:val="nil"/>
              <w:left w:val="nil"/>
              <w:bottom w:val="single" w:sz="4" w:space="0" w:color="808080"/>
              <w:right w:val="nil"/>
            </w:tcBorders>
            <w:shd w:val="clear" w:color="auto" w:fill="auto"/>
            <w:vAlign w:val="center"/>
            <w:hideMark/>
          </w:tcPr>
          <w:p w14:paraId="6D19B1E0" w14:textId="77777777" w:rsidR="0091708F" w:rsidRPr="00296E53" w:rsidRDefault="0091708F" w:rsidP="000A4B13">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CONSTITUCIÓN Y LEYES</w:t>
            </w:r>
          </w:p>
        </w:tc>
        <w:tc>
          <w:tcPr>
            <w:tcW w:w="9497" w:type="dxa"/>
            <w:vMerge/>
            <w:tcBorders>
              <w:top w:val="nil"/>
              <w:left w:val="nil"/>
              <w:bottom w:val="single" w:sz="4" w:space="0" w:color="000000"/>
              <w:right w:val="nil"/>
            </w:tcBorders>
            <w:vAlign w:val="center"/>
            <w:hideMark/>
          </w:tcPr>
          <w:p w14:paraId="0DC9C51B" w14:textId="77777777" w:rsidR="0091708F" w:rsidRPr="00296E53" w:rsidRDefault="0091708F" w:rsidP="0091708F">
            <w:pPr>
              <w:spacing w:after="0" w:line="240" w:lineRule="auto"/>
              <w:rPr>
                <w:rFonts w:ascii="Century Gothic" w:eastAsia="Times New Roman" w:hAnsi="Century Gothic" w:cs="Arial"/>
                <w:color w:val="000000"/>
                <w:sz w:val="17"/>
                <w:szCs w:val="17"/>
                <w:lang w:val="en-US"/>
              </w:rPr>
            </w:pPr>
          </w:p>
        </w:tc>
      </w:tr>
      <w:tr w:rsidR="00FD0B66" w:rsidRPr="00296E53" w14:paraId="18DD3E07" w14:textId="77777777" w:rsidTr="004433A7">
        <w:trPr>
          <w:trHeight w:val="20"/>
        </w:trPr>
        <w:tc>
          <w:tcPr>
            <w:tcW w:w="435" w:type="dxa"/>
            <w:tcBorders>
              <w:top w:val="nil"/>
              <w:left w:val="nil"/>
              <w:bottom w:val="single" w:sz="4" w:space="0" w:color="auto"/>
              <w:right w:val="nil"/>
            </w:tcBorders>
            <w:shd w:val="clear" w:color="auto" w:fill="auto"/>
            <w:noWrap/>
            <w:vAlign w:val="bottom"/>
            <w:hideMark/>
          </w:tcPr>
          <w:p w14:paraId="334C7C35" w14:textId="77777777" w:rsidR="0091708F" w:rsidRPr="00296E53" w:rsidRDefault="0091708F" w:rsidP="0091708F">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 </w:t>
            </w:r>
          </w:p>
        </w:tc>
        <w:tc>
          <w:tcPr>
            <w:tcW w:w="4243" w:type="dxa"/>
            <w:tcBorders>
              <w:top w:val="nil"/>
              <w:left w:val="nil"/>
              <w:bottom w:val="single" w:sz="4" w:space="0" w:color="auto"/>
              <w:right w:val="nil"/>
            </w:tcBorders>
            <w:shd w:val="clear" w:color="auto" w:fill="auto"/>
            <w:vAlign w:val="center"/>
            <w:hideMark/>
          </w:tcPr>
          <w:p w14:paraId="1845CC9B" w14:textId="77777777" w:rsidR="0091708F" w:rsidRPr="00296E53" w:rsidRDefault="0091708F" w:rsidP="000A4B13">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PROGRAMA SECTORIALES/ESPECIALES</w:t>
            </w:r>
          </w:p>
        </w:tc>
        <w:tc>
          <w:tcPr>
            <w:tcW w:w="9497" w:type="dxa"/>
            <w:vMerge/>
            <w:tcBorders>
              <w:top w:val="nil"/>
              <w:left w:val="nil"/>
              <w:bottom w:val="single" w:sz="4" w:space="0" w:color="000000"/>
              <w:right w:val="nil"/>
            </w:tcBorders>
            <w:vAlign w:val="center"/>
            <w:hideMark/>
          </w:tcPr>
          <w:p w14:paraId="48C7177F" w14:textId="77777777" w:rsidR="0091708F" w:rsidRPr="00296E53" w:rsidRDefault="0091708F" w:rsidP="0091708F">
            <w:pPr>
              <w:spacing w:after="0" w:line="240" w:lineRule="auto"/>
              <w:rPr>
                <w:rFonts w:ascii="Century Gothic" w:eastAsia="Times New Roman" w:hAnsi="Century Gothic" w:cs="Arial"/>
                <w:color w:val="000000"/>
                <w:sz w:val="17"/>
                <w:szCs w:val="17"/>
                <w:lang w:val="en-US"/>
              </w:rPr>
            </w:pPr>
          </w:p>
        </w:tc>
      </w:tr>
    </w:tbl>
    <w:p w14:paraId="7AA152AE" w14:textId="77777777" w:rsidR="00FD0B66" w:rsidRPr="00296E53" w:rsidRDefault="00C22EBC" w:rsidP="00FD0B66">
      <w:pPr>
        <w:spacing w:before="240"/>
        <w:jc w:val="both"/>
        <w:rPr>
          <w:rFonts w:ascii="Century Gothic" w:hAnsi="Century Gothic"/>
          <w:sz w:val="19"/>
          <w:szCs w:val="19"/>
        </w:rPr>
      </w:pPr>
      <w:r w:rsidRPr="00296E53">
        <w:rPr>
          <w:rFonts w:ascii="Century Gothic" w:hAnsi="Century Gothic"/>
          <w:sz w:val="19"/>
          <w:szCs w:val="19"/>
        </w:rPr>
        <w:t>Para mayor referencia, en el siguiente cuadro</w:t>
      </w:r>
      <w:r w:rsidR="00E455D0" w:rsidRPr="00296E53">
        <w:rPr>
          <w:rFonts w:ascii="Century Gothic" w:hAnsi="Century Gothic"/>
          <w:sz w:val="19"/>
          <w:szCs w:val="19"/>
        </w:rPr>
        <w:t xml:space="preserve"> (A.1.9)</w:t>
      </w:r>
      <w:r w:rsidRPr="00296E53">
        <w:rPr>
          <w:rFonts w:ascii="Century Gothic" w:hAnsi="Century Gothic"/>
          <w:sz w:val="19"/>
          <w:szCs w:val="19"/>
        </w:rPr>
        <w:t xml:space="preserve"> se presenta el uso de cada uno de los programas de información del INEGI.</w:t>
      </w:r>
      <w:r w:rsidR="00FD0B66" w:rsidRPr="00296E53">
        <w:rPr>
          <w:rFonts w:ascii="Century Gothic" w:hAnsi="Century Gothic"/>
          <w:sz w:val="19"/>
          <w:szCs w:val="19"/>
        </w:rPr>
        <w:t xml:space="preserve"> </w:t>
      </w:r>
    </w:p>
    <w:p w14:paraId="19EDC9A3" w14:textId="77777777" w:rsidR="00F34563" w:rsidRPr="00296E53" w:rsidRDefault="00A77AE4" w:rsidP="00FD0B66">
      <w:pPr>
        <w:spacing w:before="240"/>
        <w:jc w:val="center"/>
        <w:rPr>
          <w:rFonts w:ascii="Century Gothic" w:hAnsi="Century Gothic"/>
          <w:b/>
          <w:sz w:val="19"/>
          <w:szCs w:val="19"/>
        </w:rPr>
      </w:pPr>
      <w:r w:rsidRPr="00296E53">
        <w:rPr>
          <w:rFonts w:ascii="Century Gothic" w:hAnsi="Century Gothic"/>
          <w:b/>
          <w:sz w:val="19"/>
          <w:szCs w:val="19"/>
        </w:rPr>
        <w:t>A.1.8.  Programas de información del INEGI por tipo de uso</w:t>
      </w:r>
    </w:p>
    <w:tbl>
      <w:tblPr>
        <w:tblW w:w="145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83"/>
        <w:gridCol w:w="2881"/>
        <w:gridCol w:w="1134"/>
        <w:gridCol w:w="1560"/>
        <w:gridCol w:w="1275"/>
        <w:gridCol w:w="1276"/>
        <w:gridCol w:w="1276"/>
        <w:gridCol w:w="1293"/>
        <w:gridCol w:w="820"/>
        <w:gridCol w:w="1155"/>
        <w:gridCol w:w="807"/>
      </w:tblGrid>
      <w:tr w:rsidR="00EE79D4" w:rsidRPr="00296E53" w14:paraId="3BD56A70" w14:textId="77777777" w:rsidTr="00EE79D4">
        <w:trPr>
          <w:trHeight w:val="20"/>
          <w:tblHeader/>
        </w:trPr>
        <w:tc>
          <w:tcPr>
            <w:tcW w:w="1083" w:type="dxa"/>
            <w:shd w:val="clear" w:color="auto" w:fill="1F3864" w:themeFill="accent5" w:themeFillShade="80"/>
            <w:vAlign w:val="center"/>
            <w:hideMark/>
          </w:tcPr>
          <w:p w14:paraId="525D1F65" w14:textId="77777777" w:rsidR="00F34563" w:rsidRPr="00296E53" w:rsidRDefault="00F34563" w:rsidP="006C71D1">
            <w:pPr>
              <w:spacing w:after="0" w:line="240" w:lineRule="auto"/>
              <w:jc w:val="center"/>
              <w:rPr>
                <w:rFonts w:ascii="Century Gothic" w:eastAsia="Times New Roman" w:hAnsi="Century Gothic" w:cs="Arial"/>
                <w:color w:val="000000"/>
                <w:sz w:val="17"/>
                <w:szCs w:val="17"/>
                <w:lang w:val="en-US"/>
              </w:rPr>
            </w:pPr>
            <w:r w:rsidRPr="00296E53">
              <w:rPr>
                <w:rFonts w:ascii="Century Gothic" w:eastAsia="Times New Roman" w:hAnsi="Century Gothic" w:cs="Calibri"/>
                <w:b/>
                <w:bCs/>
                <w:color w:val="FFFFFF" w:themeColor="background1"/>
                <w:sz w:val="17"/>
                <w:szCs w:val="17"/>
                <w:lang w:val="en-US"/>
              </w:rPr>
              <w:t>UA</w:t>
            </w:r>
          </w:p>
        </w:tc>
        <w:tc>
          <w:tcPr>
            <w:tcW w:w="2881" w:type="dxa"/>
            <w:shd w:val="clear" w:color="auto" w:fill="1F3864" w:themeFill="accent5" w:themeFillShade="80"/>
            <w:vAlign w:val="center"/>
            <w:hideMark/>
          </w:tcPr>
          <w:p w14:paraId="598A53D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proofErr w:type="spellStart"/>
            <w:r w:rsidRPr="00296E53">
              <w:rPr>
                <w:rFonts w:ascii="Century Gothic" w:eastAsia="Times New Roman" w:hAnsi="Century Gothic" w:cs="Calibri"/>
                <w:b/>
                <w:bCs/>
                <w:color w:val="FFFFFF" w:themeColor="background1"/>
                <w:sz w:val="17"/>
                <w:szCs w:val="17"/>
                <w:lang w:val="en-US"/>
              </w:rPr>
              <w:t>Programa</w:t>
            </w:r>
            <w:proofErr w:type="spellEnd"/>
            <w:r w:rsidRPr="00296E53">
              <w:rPr>
                <w:rFonts w:ascii="Century Gothic" w:eastAsia="Times New Roman" w:hAnsi="Century Gothic" w:cs="Calibri"/>
                <w:b/>
                <w:bCs/>
                <w:color w:val="FFFFFF" w:themeColor="background1"/>
                <w:sz w:val="17"/>
                <w:szCs w:val="17"/>
                <w:lang w:val="en-US"/>
              </w:rPr>
              <w:t xml:space="preserve"> de </w:t>
            </w:r>
            <w:proofErr w:type="spellStart"/>
            <w:r w:rsidRPr="00296E53">
              <w:rPr>
                <w:rFonts w:ascii="Century Gothic" w:eastAsia="Times New Roman" w:hAnsi="Century Gothic" w:cs="Calibri"/>
                <w:b/>
                <w:bCs/>
                <w:color w:val="FFFFFF" w:themeColor="background1"/>
                <w:sz w:val="17"/>
                <w:szCs w:val="17"/>
                <w:lang w:val="en-US"/>
              </w:rPr>
              <w:t>Información</w:t>
            </w:r>
            <w:proofErr w:type="spellEnd"/>
          </w:p>
        </w:tc>
        <w:tc>
          <w:tcPr>
            <w:tcW w:w="1134" w:type="dxa"/>
            <w:shd w:val="clear" w:color="auto" w:fill="1F3864" w:themeFill="accent5" w:themeFillShade="80"/>
            <w:vAlign w:val="center"/>
            <w:hideMark/>
          </w:tcPr>
          <w:p w14:paraId="2ABF1308"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296E53">
              <w:rPr>
                <w:rFonts w:ascii="Century Gothic" w:eastAsia="Times New Roman" w:hAnsi="Century Gothic" w:cs="Calibri"/>
                <w:b/>
                <w:bCs/>
                <w:color w:val="FFFFFF" w:themeColor="background1"/>
                <w:sz w:val="17"/>
                <w:szCs w:val="17"/>
                <w:lang w:val="en-US"/>
              </w:rPr>
              <w:t>Insumo</w:t>
            </w:r>
            <w:proofErr w:type="spellEnd"/>
            <w:r w:rsidRPr="00296E53">
              <w:rPr>
                <w:rFonts w:ascii="Century Gothic" w:eastAsia="Times New Roman" w:hAnsi="Century Gothic" w:cs="Calibri"/>
                <w:b/>
                <w:bCs/>
                <w:color w:val="FFFFFF" w:themeColor="background1"/>
                <w:sz w:val="17"/>
                <w:szCs w:val="17"/>
                <w:lang w:val="en-US"/>
              </w:rPr>
              <w:t xml:space="preserve"> </w:t>
            </w:r>
            <w:r w:rsidR="003C7487" w:rsidRPr="00296E53">
              <w:rPr>
                <w:rFonts w:ascii="Century Gothic" w:eastAsia="Times New Roman" w:hAnsi="Century Gothic" w:cs="Calibri"/>
                <w:b/>
                <w:bCs/>
                <w:color w:val="FFFFFF" w:themeColor="background1"/>
                <w:sz w:val="17"/>
                <w:szCs w:val="17"/>
                <w:lang w:val="en-US"/>
              </w:rPr>
              <w:t>de</w:t>
            </w:r>
            <w:r w:rsidRPr="00296E53">
              <w:rPr>
                <w:rFonts w:ascii="Century Gothic" w:eastAsia="Times New Roman" w:hAnsi="Century Gothic" w:cs="Calibri"/>
                <w:b/>
                <w:bCs/>
                <w:color w:val="FFFFFF" w:themeColor="background1"/>
                <w:sz w:val="17"/>
                <w:szCs w:val="17"/>
                <w:lang w:val="en-US"/>
              </w:rPr>
              <w:t xml:space="preserve"> </w:t>
            </w:r>
            <w:proofErr w:type="spellStart"/>
            <w:r w:rsidRPr="00296E53">
              <w:rPr>
                <w:rFonts w:ascii="Century Gothic" w:eastAsia="Times New Roman" w:hAnsi="Century Gothic" w:cs="Calibri"/>
                <w:b/>
                <w:bCs/>
                <w:color w:val="FFFFFF" w:themeColor="background1"/>
                <w:sz w:val="17"/>
                <w:szCs w:val="17"/>
                <w:lang w:val="en-US"/>
              </w:rPr>
              <w:t>otros</w:t>
            </w:r>
            <w:proofErr w:type="spellEnd"/>
            <w:r w:rsidRPr="00296E53">
              <w:rPr>
                <w:rFonts w:ascii="Century Gothic" w:eastAsia="Times New Roman" w:hAnsi="Century Gothic" w:cs="Calibri"/>
                <w:b/>
                <w:bCs/>
                <w:color w:val="FFFFFF" w:themeColor="background1"/>
                <w:sz w:val="17"/>
                <w:szCs w:val="17"/>
                <w:lang w:val="en-US"/>
              </w:rPr>
              <w:t xml:space="preserve"> </w:t>
            </w:r>
            <w:proofErr w:type="spellStart"/>
            <w:r w:rsidRPr="00296E53">
              <w:rPr>
                <w:rFonts w:ascii="Century Gothic" w:eastAsia="Times New Roman" w:hAnsi="Century Gothic" w:cs="Calibri"/>
                <w:b/>
                <w:bCs/>
                <w:color w:val="FFFFFF" w:themeColor="background1"/>
                <w:sz w:val="17"/>
                <w:szCs w:val="17"/>
                <w:lang w:val="en-US"/>
              </w:rPr>
              <w:t>programas</w:t>
            </w:r>
            <w:proofErr w:type="spellEnd"/>
          </w:p>
        </w:tc>
        <w:tc>
          <w:tcPr>
            <w:tcW w:w="1560" w:type="dxa"/>
            <w:shd w:val="clear" w:color="auto" w:fill="1F3864" w:themeFill="accent5" w:themeFillShade="80"/>
            <w:vAlign w:val="center"/>
            <w:hideMark/>
          </w:tcPr>
          <w:p w14:paraId="7F49EF05"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296E53">
              <w:rPr>
                <w:rFonts w:ascii="Century Gothic" w:eastAsia="Times New Roman" w:hAnsi="Century Gothic" w:cs="Calibri"/>
                <w:b/>
                <w:bCs/>
                <w:color w:val="FFFFFF" w:themeColor="background1"/>
                <w:sz w:val="17"/>
                <w:szCs w:val="17"/>
                <w:lang w:val="en-US"/>
              </w:rPr>
              <w:t>Tratados</w:t>
            </w:r>
            <w:proofErr w:type="spellEnd"/>
            <w:r w:rsidRPr="00296E53">
              <w:rPr>
                <w:rFonts w:ascii="Century Gothic" w:eastAsia="Times New Roman" w:hAnsi="Century Gothic" w:cs="Calibri"/>
                <w:b/>
                <w:bCs/>
                <w:color w:val="FFFFFF" w:themeColor="background1"/>
                <w:sz w:val="17"/>
                <w:szCs w:val="17"/>
                <w:lang w:val="en-US"/>
              </w:rPr>
              <w:t xml:space="preserve"> </w:t>
            </w:r>
            <w:proofErr w:type="spellStart"/>
            <w:r w:rsidRPr="00296E53">
              <w:rPr>
                <w:rFonts w:ascii="Century Gothic" w:eastAsia="Times New Roman" w:hAnsi="Century Gothic" w:cs="Calibri"/>
                <w:b/>
                <w:bCs/>
                <w:color w:val="FFFFFF" w:themeColor="background1"/>
                <w:sz w:val="17"/>
                <w:szCs w:val="17"/>
                <w:lang w:val="en-US"/>
              </w:rPr>
              <w:t>Internacionales</w:t>
            </w:r>
            <w:proofErr w:type="spellEnd"/>
          </w:p>
        </w:tc>
        <w:tc>
          <w:tcPr>
            <w:tcW w:w="1275" w:type="dxa"/>
            <w:shd w:val="clear" w:color="auto" w:fill="1F3864" w:themeFill="accent5" w:themeFillShade="80"/>
            <w:vAlign w:val="center"/>
            <w:hideMark/>
          </w:tcPr>
          <w:p w14:paraId="5263A035"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296E53">
              <w:rPr>
                <w:rFonts w:ascii="Century Gothic" w:eastAsia="Times New Roman" w:hAnsi="Century Gothic" w:cs="Calibri"/>
                <w:b/>
                <w:bCs/>
                <w:color w:val="FFFFFF" w:themeColor="background1"/>
                <w:sz w:val="17"/>
                <w:szCs w:val="17"/>
                <w:lang w:val="en-US"/>
              </w:rPr>
              <w:t>Constitución</w:t>
            </w:r>
            <w:proofErr w:type="spellEnd"/>
            <w:r w:rsidRPr="00296E53">
              <w:rPr>
                <w:rFonts w:ascii="Century Gothic" w:eastAsia="Times New Roman" w:hAnsi="Century Gothic" w:cs="Calibri"/>
                <w:b/>
                <w:bCs/>
                <w:color w:val="FFFFFF" w:themeColor="background1"/>
                <w:sz w:val="17"/>
                <w:szCs w:val="17"/>
                <w:lang w:val="en-US"/>
              </w:rPr>
              <w:t xml:space="preserve"> y </w:t>
            </w:r>
            <w:proofErr w:type="spellStart"/>
            <w:r w:rsidRPr="00296E53">
              <w:rPr>
                <w:rFonts w:ascii="Century Gothic" w:eastAsia="Times New Roman" w:hAnsi="Century Gothic" w:cs="Calibri"/>
                <w:b/>
                <w:bCs/>
                <w:color w:val="FFFFFF" w:themeColor="background1"/>
                <w:sz w:val="17"/>
                <w:szCs w:val="17"/>
                <w:lang w:val="en-US"/>
              </w:rPr>
              <w:t>leyes</w:t>
            </w:r>
            <w:proofErr w:type="spellEnd"/>
          </w:p>
        </w:tc>
        <w:tc>
          <w:tcPr>
            <w:tcW w:w="1276" w:type="dxa"/>
            <w:shd w:val="clear" w:color="auto" w:fill="1F3864" w:themeFill="accent5" w:themeFillShade="80"/>
            <w:vAlign w:val="center"/>
            <w:hideMark/>
          </w:tcPr>
          <w:p w14:paraId="5305E1CD"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296E53">
              <w:rPr>
                <w:rFonts w:ascii="Century Gothic" w:eastAsia="Times New Roman" w:hAnsi="Century Gothic" w:cs="Calibri"/>
                <w:b/>
                <w:bCs/>
                <w:color w:val="FFFFFF" w:themeColor="background1"/>
                <w:sz w:val="17"/>
                <w:szCs w:val="17"/>
                <w:lang w:val="en-US"/>
              </w:rPr>
              <w:t>Indicadores</w:t>
            </w:r>
            <w:proofErr w:type="spellEnd"/>
            <w:r w:rsidRPr="00296E53">
              <w:rPr>
                <w:rFonts w:ascii="Century Gothic" w:eastAsia="Times New Roman" w:hAnsi="Century Gothic" w:cs="Calibri"/>
                <w:b/>
                <w:bCs/>
                <w:color w:val="FFFFFF" w:themeColor="background1"/>
                <w:sz w:val="17"/>
                <w:szCs w:val="17"/>
                <w:lang w:val="en-US"/>
              </w:rPr>
              <w:t xml:space="preserve"> ODS</w:t>
            </w:r>
          </w:p>
        </w:tc>
        <w:tc>
          <w:tcPr>
            <w:tcW w:w="1276" w:type="dxa"/>
            <w:shd w:val="clear" w:color="auto" w:fill="1F3864" w:themeFill="accent5" w:themeFillShade="80"/>
            <w:vAlign w:val="center"/>
            <w:hideMark/>
          </w:tcPr>
          <w:p w14:paraId="23B4596E"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296E53">
              <w:rPr>
                <w:rFonts w:ascii="Century Gothic" w:eastAsia="Times New Roman" w:hAnsi="Century Gothic" w:cs="Calibri"/>
                <w:b/>
                <w:bCs/>
                <w:color w:val="FFFFFF" w:themeColor="background1"/>
                <w:sz w:val="17"/>
                <w:szCs w:val="17"/>
                <w:lang w:val="en-US"/>
              </w:rPr>
              <w:t>Indicadores</w:t>
            </w:r>
            <w:proofErr w:type="spellEnd"/>
            <w:r w:rsidRPr="00296E53">
              <w:rPr>
                <w:rFonts w:ascii="Century Gothic" w:eastAsia="Times New Roman" w:hAnsi="Century Gothic" w:cs="Calibri"/>
                <w:b/>
                <w:bCs/>
                <w:color w:val="FFFFFF" w:themeColor="background1"/>
                <w:sz w:val="17"/>
                <w:szCs w:val="17"/>
                <w:lang w:val="en-US"/>
              </w:rPr>
              <w:t xml:space="preserve"> Clave</w:t>
            </w:r>
          </w:p>
        </w:tc>
        <w:tc>
          <w:tcPr>
            <w:tcW w:w="1293" w:type="dxa"/>
            <w:shd w:val="clear" w:color="auto" w:fill="1F3864" w:themeFill="accent5" w:themeFillShade="80"/>
            <w:vAlign w:val="center"/>
            <w:hideMark/>
          </w:tcPr>
          <w:p w14:paraId="58D79046"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296E53">
              <w:rPr>
                <w:rFonts w:ascii="Century Gothic" w:eastAsia="Times New Roman" w:hAnsi="Century Gothic" w:cs="Calibri"/>
                <w:b/>
                <w:bCs/>
                <w:color w:val="FFFFFF" w:themeColor="background1"/>
                <w:sz w:val="17"/>
                <w:szCs w:val="17"/>
                <w:lang w:val="en-US"/>
              </w:rPr>
              <w:t>Programas</w:t>
            </w:r>
            <w:proofErr w:type="spellEnd"/>
            <w:r w:rsidRPr="00296E53">
              <w:rPr>
                <w:rFonts w:ascii="Century Gothic" w:eastAsia="Times New Roman" w:hAnsi="Century Gothic" w:cs="Calibri"/>
                <w:b/>
                <w:bCs/>
                <w:color w:val="FFFFFF" w:themeColor="background1"/>
                <w:sz w:val="17"/>
                <w:szCs w:val="17"/>
                <w:lang w:val="en-US"/>
              </w:rPr>
              <w:t xml:space="preserve"> </w:t>
            </w:r>
            <w:proofErr w:type="spellStart"/>
            <w:r w:rsidRPr="00296E53">
              <w:rPr>
                <w:rFonts w:ascii="Century Gothic" w:eastAsia="Times New Roman" w:hAnsi="Century Gothic" w:cs="Calibri"/>
                <w:b/>
                <w:bCs/>
                <w:color w:val="FFFFFF" w:themeColor="background1"/>
                <w:sz w:val="17"/>
                <w:szCs w:val="17"/>
                <w:lang w:val="en-US"/>
              </w:rPr>
              <w:t>Sectoriales</w:t>
            </w:r>
            <w:proofErr w:type="spellEnd"/>
            <w:r w:rsidRPr="00296E53">
              <w:rPr>
                <w:rFonts w:ascii="Century Gothic" w:eastAsia="Times New Roman" w:hAnsi="Century Gothic" w:cs="Calibri"/>
                <w:b/>
                <w:bCs/>
                <w:color w:val="FFFFFF" w:themeColor="background1"/>
                <w:sz w:val="17"/>
                <w:szCs w:val="17"/>
                <w:lang w:val="en-US"/>
              </w:rPr>
              <w:t xml:space="preserve"> y </w:t>
            </w:r>
            <w:proofErr w:type="spellStart"/>
            <w:r w:rsidRPr="00296E53">
              <w:rPr>
                <w:rFonts w:ascii="Century Gothic" w:eastAsia="Times New Roman" w:hAnsi="Century Gothic" w:cs="Calibri"/>
                <w:b/>
                <w:bCs/>
                <w:color w:val="FFFFFF" w:themeColor="background1"/>
                <w:sz w:val="17"/>
                <w:szCs w:val="17"/>
                <w:lang w:val="en-US"/>
              </w:rPr>
              <w:t>Especiales</w:t>
            </w:r>
            <w:proofErr w:type="spellEnd"/>
          </w:p>
        </w:tc>
        <w:tc>
          <w:tcPr>
            <w:tcW w:w="820" w:type="dxa"/>
            <w:shd w:val="clear" w:color="auto" w:fill="1F3864" w:themeFill="accent5" w:themeFillShade="80"/>
            <w:vAlign w:val="center"/>
            <w:hideMark/>
          </w:tcPr>
          <w:p w14:paraId="60C6B9ED"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r w:rsidRPr="00296E53">
              <w:rPr>
                <w:rFonts w:ascii="Century Gothic" w:eastAsia="Times New Roman" w:hAnsi="Century Gothic" w:cs="Calibri"/>
                <w:b/>
                <w:bCs/>
                <w:color w:val="FFFFFF" w:themeColor="background1"/>
                <w:sz w:val="17"/>
                <w:szCs w:val="17"/>
                <w:lang w:val="en-US"/>
              </w:rPr>
              <w:t>Metas-PND (DOF)</w:t>
            </w:r>
          </w:p>
        </w:tc>
        <w:tc>
          <w:tcPr>
            <w:tcW w:w="1155" w:type="dxa"/>
            <w:shd w:val="clear" w:color="auto" w:fill="1F3864" w:themeFill="accent5" w:themeFillShade="80"/>
            <w:vAlign w:val="center"/>
            <w:hideMark/>
          </w:tcPr>
          <w:p w14:paraId="42D79389"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296E53">
              <w:rPr>
                <w:rFonts w:ascii="Century Gothic" w:eastAsia="Times New Roman" w:hAnsi="Century Gothic" w:cs="Calibri"/>
                <w:b/>
                <w:bCs/>
                <w:color w:val="FFFFFF" w:themeColor="background1"/>
                <w:sz w:val="17"/>
                <w:szCs w:val="17"/>
                <w:lang w:val="en-US"/>
              </w:rPr>
              <w:t>Laboratorio</w:t>
            </w:r>
            <w:proofErr w:type="spellEnd"/>
            <w:r w:rsidRPr="00296E53">
              <w:rPr>
                <w:rFonts w:ascii="Century Gothic" w:eastAsia="Times New Roman" w:hAnsi="Century Gothic" w:cs="Calibri"/>
                <w:b/>
                <w:bCs/>
                <w:color w:val="FFFFFF" w:themeColor="background1"/>
                <w:sz w:val="17"/>
                <w:szCs w:val="17"/>
                <w:lang w:val="en-US"/>
              </w:rPr>
              <w:t xml:space="preserve"> de </w:t>
            </w:r>
            <w:proofErr w:type="spellStart"/>
            <w:r w:rsidRPr="00296E53">
              <w:rPr>
                <w:rFonts w:ascii="Century Gothic" w:eastAsia="Times New Roman" w:hAnsi="Century Gothic" w:cs="Calibri"/>
                <w:b/>
                <w:bCs/>
                <w:color w:val="FFFFFF" w:themeColor="background1"/>
                <w:sz w:val="17"/>
                <w:szCs w:val="17"/>
                <w:lang w:val="en-US"/>
              </w:rPr>
              <w:t>Microdatos</w:t>
            </w:r>
            <w:proofErr w:type="spellEnd"/>
          </w:p>
        </w:tc>
        <w:tc>
          <w:tcPr>
            <w:tcW w:w="807" w:type="dxa"/>
            <w:shd w:val="clear" w:color="auto" w:fill="1F3864" w:themeFill="accent5" w:themeFillShade="80"/>
            <w:vAlign w:val="center"/>
            <w:hideMark/>
          </w:tcPr>
          <w:p w14:paraId="6343D1D3"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296E53">
              <w:rPr>
                <w:rFonts w:ascii="Century Gothic" w:eastAsia="Times New Roman" w:hAnsi="Century Gothic" w:cs="Calibri"/>
                <w:b/>
                <w:bCs/>
                <w:color w:val="FFFFFF" w:themeColor="background1"/>
                <w:sz w:val="17"/>
                <w:szCs w:val="17"/>
                <w:lang w:val="en-US"/>
              </w:rPr>
              <w:t>Página</w:t>
            </w:r>
            <w:proofErr w:type="spellEnd"/>
            <w:r w:rsidRPr="00296E53">
              <w:rPr>
                <w:rFonts w:ascii="Century Gothic" w:eastAsia="Times New Roman" w:hAnsi="Century Gothic" w:cs="Calibri"/>
                <w:b/>
                <w:bCs/>
                <w:color w:val="FFFFFF" w:themeColor="background1"/>
                <w:sz w:val="17"/>
                <w:szCs w:val="17"/>
                <w:lang w:val="en-US"/>
              </w:rPr>
              <w:t xml:space="preserve"> INEGI</w:t>
            </w:r>
          </w:p>
        </w:tc>
      </w:tr>
      <w:tr w:rsidR="00EE79D4" w:rsidRPr="00296E53" w14:paraId="6F91E79F" w14:textId="77777777" w:rsidTr="00EE79D4">
        <w:trPr>
          <w:trHeight w:val="20"/>
        </w:trPr>
        <w:tc>
          <w:tcPr>
            <w:tcW w:w="1083" w:type="dxa"/>
            <w:shd w:val="clear" w:color="auto" w:fill="FFFFFF" w:themeFill="background1"/>
            <w:vAlign w:val="center"/>
            <w:hideMark/>
          </w:tcPr>
          <w:p w14:paraId="05611BEA"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9788F96"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Censos</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Económicos</w:t>
            </w:r>
            <w:proofErr w:type="spellEnd"/>
          </w:p>
        </w:tc>
        <w:tc>
          <w:tcPr>
            <w:tcW w:w="1134" w:type="dxa"/>
            <w:shd w:val="clear" w:color="auto" w:fill="FFFFFF" w:themeFill="background1"/>
            <w:vAlign w:val="center"/>
            <w:hideMark/>
          </w:tcPr>
          <w:p w14:paraId="2129547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4999631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1C7A723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207CAF8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6A66981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7CE4D60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71F4F06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5CB6F86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7263892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AED5984" w14:textId="77777777" w:rsidTr="00EE79D4">
        <w:trPr>
          <w:trHeight w:val="20"/>
        </w:trPr>
        <w:tc>
          <w:tcPr>
            <w:tcW w:w="1083" w:type="dxa"/>
            <w:shd w:val="clear" w:color="auto" w:fill="FFFFFF" w:themeFill="background1"/>
            <w:vAlign w:val="center"/>
            <w:hideMark/>
          </w:tcPr>
          <w:p w14:paraId="4B6FB72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17D2E8EE"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Censo</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Agropecuario</w:t>
            </w:r>
            <w:proofErr w:type="spellEnd"/>
          </w:p>
        </w:tc>
        <w:tc>
          <w:tcPr>
            <w:tcW w:w="1134" w:type="dxa"/>
            <w:shd w:val="clear" w:color="auto" w:fill="FFFFFF" w:themeFill="background1"/>
            <w:vAlign w:val="center"/>
            <w:hideMark/>
          </w:tcPr>
          <w:p w14:paraId="113EB30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2D67C3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0B969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404CCC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2730913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0D3F9C4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5C5B63E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91558E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300A60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F1EED59" w14:textId="77777777" w:rsidTr="00EE79D4">
        <w:trPr>
          <w:trHeight w:val="20"/>
        </w:trPr>
        <w:tc>
          <w:tcPr>
            <w:tcW w:w="1083" w:type="dxa"/>
            <w:shd w:val="clear" w:color="auto" w:fill="FFFFFF" w:themeFill="background1"/>
            <w:vAlign w:val="center"/>
            <w:hideMark/>
          </w:tcPr>
          <w:p w14:paraId="0E8FFF0A"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4537E432"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Cuentas</w:t>
            </w:r>
            <w:proofErr w:type="spellEnd"/>
            <w:r w:rsidRPr="00296E53">
              <w:rPr>
                <w:rFonts w:ascii="Century Gothic" w:eastAsia="Times New Roman" w:hAnsi="Century Gothic" w:cs="Arial"/>
                <w:color w:val="000000"/>
                <w:sz w:val="17"/>
                <w:szCs w:val="17"/>
                <w:lang w:val="en-US"/>
              </w:rPr>
              <w:t xml:space="preserve"> por </w:t>
            </w:r>
            <w:proofErr w:type="spellStart"/>
            <w:r w:rsidRPr="00296E53">
              <w:rPr>
                <w:rFonts w:ascii="Century Gothic" w:eastAsia="Times New Roman" w:hAnsi="Century Gothic" w:cs="Arial"/>
                <w:color w:val="000000"/>
                <w:sz w:val="17"/>
                <w:szCs w:val="17"/>
                <w:lang w:val="en-US"/>
              </w:rPr>
              <w:t>Actividades</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Económicas</w:t>
            </w:r>
            <w:proofErr w:type="spellEnd"/>
          </w:p>
        </w:tc>
        <w:tc>
          <w:tcPr>
            <w:tcW w:w="1134" w:type="dxa"/>
            <w:shd w:val="clear" w:color="auto" w:fill="FFFFFF" w:themeFill="background1"/>
            <w:vAlign w:val="center"/>
            <w:hideMark/>
          </w:tcPr>
          <w:p w14:paraId="0C3A298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2E58184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4A9304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9AD88E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416ADF5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3C06CE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6C1A5F3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4AC4CE0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7B20A9C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7DB318DC" w14:textId="77777777" w:rsidTr="00EE79D4">
        <w:trPr>
          <w:trHeight w:val="20"/>
        </w:trPr>
        <w:tc>
          <w:tcPr>
            <w:tcW w:w="1083" w:type="dxa"/>
            <w:shd w:val="clear" w:color="auto" w:fill="C5EAFF"/>
            <w:vAlign w:val="center"/>
            <w:hideMark/>
          </w:tcPr>
          <w:p w14:paraId="50843B1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7BDB86F7"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Cuentas</w:t>
            </w:r>
            <w:proofErr w:type="spellEnd"/>
            <w:r w:rsidRPr="00296E53">
              <w:rPr>
                <w:rFonts w:ascii="Century Gothic" w:eastAsia="Times New Roman" w:hAnsi="Century Gothic" w:cs="Arial"/>
                <w:color w:val="000000"/>
                <w:sz w:val="17"/>
                <w:szCs w:val="17"/>
                <w:lang w:val="en-US"/>
              </w:rPr>
              <w:t xml:space="preserve"> por </w:t>
            </w:r>
            <w:proofErr w:type="spellStart"/>
            <w:r w:rsidRPr="00296E53">
              <w:rPr>
                <w:rFonts w:ascii="Century Gothic" w:eastAsia="Times New Roman" w:hAnsi="Century Gothic" w:cs="Arial"/>
                <w:color w:val="000000"/>
                <w:sz w:val="17"/>
                <w:szCs w:val="17"/>
                <w:lang w:val="en-US"/>
              </w:rPr>
              <w:t>Sectores</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Institucionales</w:t>
            </w:r>
            <w:proofErr w:type="spellEnd"/>
          </w:p>
        </w:tc>
        <w:tc>
          <w:tcPr>
            <w:tcW w:w="1134" w:type="dxa"/>
            <w:shd w:val="clear" w:color="auto" w:fill="C5EAFF"/>
            <w:vAlign w:val="center"/>
            <w:hideMark/>
          </w:tcPr>
          <w:p w14:paraId="2FD5B8F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526236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1329761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38A54A3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381D20B5"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507C9BD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57736A0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01B6C5F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5BD461A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A5F0407" w14:textId="77777777" w:rsidTr="00EE79D4">
        <w:trPr>
          <w:trHeight w:val="20"/>
        </w:trPr>
        <w:tc>
          <w:tcPr>
            <w:tcW w:w="1083" w:type="dxa"/>
            <w:shd w:val="clear" w:color="auto" w:fill="C5EAFF"/>
            <w:vAlign w:val="center"/>
            <w:hideMark/>
          </w:tcPr>
          <w:p w14:paraId="5ACDB4EB"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20A28519"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Cuentas</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Temáticas</w:t>
            </w:r>
            <w:proofErr w:type="spellEnd"/>
          </w:p>
        </w:tc>
        <w:tc>
          <w:tcPr>
            <w:tcW w:w="1134" w:type="dxa"/>
            <w:shd w:val="clear" w:color="auto" w:fill="C5EAFF"/>
            <w:vAlign w:val="center"/>
            <w:hideMark/>
          </w:tcPr>
          <w:p w14:paraId="15D8CEE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985231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43A020A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7111140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3739882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35297B6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1370684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5A5D2C4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4379953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35CADF2" w14:textId="77777777" w:rsidTr="00EE79D4">
        <w:trPr>
          <w:trHeight w:val="20"/>
        </w:trPr>
        <w:tc>
          <w:tcPr>
            <w:tcW w:w="1083" w:type="dxa"/>
            <w:shd w:val="clear" w:color="auto" w:fill="C5EAFF"/>
            <w:vAlign w:val="center"/>
            <w:hideMark/>
          </w:tcPr>
          <w:p w14:paraId="1A2A433B"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6261FB3C"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Encuestas</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viajeros</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internacionales</w:t>
            </w:r>
            <w:proofErr w:type="spellEnd"/>
          </w:p>
        </w:tc>
        <w:tc>
          <w:tcPr>
            <w:tcW w:w="1134" w:type="dxa"/>
            <w:shd w:val="clear" w:color="auto" w:fill="C5EAFF"/>
            <w:vAlign w:val="center"/>
            <w:hideMark/>
          </w:tcPr>
          <w:p w14:paraId="63F00D9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0B46C0D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346191B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E1ED7A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20438C17"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5A621C3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00E0EC88"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4FDED7A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3302F42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AD8FE3B" w14:textId="77777777" w:rsidTr="00EE79D4">
        <w:trPr>
          <w:trHeight w:val="20"/>
        </w:trPr>
        <w:tc>
          <w:tcPr>
            <w:tcW w:w="1083" w:type="dxa"/>
            <w:shd w:val="clear" w:color="auto" w:fill="FFFFFF" w:themeFill="background1"/>
            <w:vAlign w:val="center"/>
            <w:hideMark/>
          </w:tcPr>
          <w:p w14:paraId="6589DE79"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528C5AF"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Encuestas</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industrias</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manufactureras</w:t>
            </w:r>
            <w:proofErr w:type="spellEnd"/>
          </w:p>
        </w:tc>
        <w:tc>
          <w:tcPr>
            <w:tcW w:w="1134" w:type="dxa"/>
            <w:shd w:val="clear" w:color="auto" w:fill="FFFFFF" w:themeFill="background1"/>
            <w:vAlign w:val="center"/>
            <w:hideMark/>
          </w:tcPr>
          <w:p w14:paraId="3834C2D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B2353B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7550B59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3452DDE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A170F5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11B3D66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3B34A21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6D3BAF3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25BE914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EEE6394" w14:textId="77777777" w:rsidTr="00EE79D4">
        <w:trPr>
          <w:trHeight w:val="20"/>
        </w:trPr>
        <w:tc>
          <w:tcPr>
            <w:tcW w:w="1083" w:type="dxa"/>
            <w:shd w:val="clear" w:color="auto" w:fill="FFFFFF" w:themeFill="background1"/>
            <w:vAlign w:val="center"/>
            <w:hideMark/>
          </w:tcPr>
          <w:p w14:paraId="119DED4F"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2A5BB4D"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Encuesta</w:t>
            </w:r>
            <w:proofErr w:type="spellEnd"/>
            <w:r w:rsidRPr="00296E53">
              <w:rPr>
                <w:rFonts w:ascii="Century Gothic" w:eastAsia="Times New Roman" w:hAnsi="Century Gothic" w:cs="Arial"/>
                <w:color w:val="000000"/>
                <w:sz w:val="17"/>
                <w:szCs w:val="17"/>
                <w:lang w:val="en-US"/>
              </w:rPr>
              <w:t xml:space="preserve"> Nacional </w:t>
            </w:r>
            <w:proofErr w:type="spellStart"/>
            <w:r w:rsidRPr="00296E53">
              <w:rPr>
                <w:rFonts w:ascii="Century Gothic" w:eastAsia="Times New Roman" w:hAnsi="Century Gothic" w:cs="Arial"/>
                <w:color w:val="000000"/>
                <w:sz w:val="17"/>
                <w:szCs w:val="17"/>
                <w:lang w:val="en-US"/>
              </w:rPr>
              <w:t>Agropecuaria</w:t>
            </w:r>
            <w:proofErr w:type="spellEnd"/>
          </w:p>
        </w:tc>
        <w:tc>
          <w:tcPr>
            <w:tcW w:w="1134" w:type="dxa"/>
            <w:shd w:val="clear" w:color="auto" w:fill="FFFFFF" w:themeFill="background1"/>
            <w:vAlign w:val="center"/>
            <w:hideMark/>
          </w:tcPr>
          <w:p w14:paraId="5B0F5D6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77E14F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3AF874C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8A4866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0AC4F949"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419C0D2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AB194B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9A4155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16D4708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602A37F" w14:textId="77777777" w:rsidTr="00EE79D4">
        <w:trPr>
          <w:trHeight w:val="20"/>
        </w:trPr>
        <w:tc>
          <w:tcPr>
            <w:tcW w:w="1083" w:type="dxa"/>
            <w:shd w:val="clear" w:color="auto" w:fill="FFFFFF" w:themeFill="background1"/>
            <w:vAlign w:val="center"/>
            <w:hideMark/>
          </w:tcPr>
          <w:p w14:paraId="4A6F11D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220D10BF"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Financiamiento de las Empresas</w:t>
            </w:r>
          </w:p>
        </w:tc>
        <w:tc>
          <w:tcPr>
            <w:tcW w:w="1134" w:type="dxa"/>
            <w:shd w:val="clear" w:color="auto" w:fill="FFFFFF" w:themeFill="background1"/>
            <w:vAlign w:val="center"/>
            <w:hideMark/>
          </w:tcPr>
          <w:p w14:paraId="6A48317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6E9ED0BC"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5DBABE1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601AA974"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79E3BD13"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30D97E5C"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22D15E06"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155" w:type="dxa"/>
            <w:shd w:val="clear" w:color="auto" w:fill="FFFFFF" w:themeFill="background1"/>
            <w:vAlign w:val="center"/>
            <w:hideMark/>
          </w:tcPr>
          <w:p w14:paraId="5510D46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07" w:type="dxa"/>
            <w:shd w:val="clear" w:color="auto" w:fill="FFFFFF" w:themeFill="background1"/>
            <w:vAlign w:val="center"/>
            <w:hideMark/>
          </w:tcPr>
          <w:p w14:paraId="01B19DE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F8CF3EB" w14:textId="77777777" w:rsidTr="00EE79D4">
        <w:trPr>
          <w:trHeight w:val="20"/>
        </w:trPr>
        <w:tc>
          <w:tcPr>
            <w:tcW w:w="1083" w:type="dxa"/>
            <w:shd w:val="clear" w:color="auto" w:fill="C5EAFF"/>
            <w:vAlign w:val="center"/>
            <w:hideMark/>
          </w:tcPr>
          <w:p w14:paraId="7E47020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05267F13"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Disponibilidad y uso de Tecnologías en los Hogares</w:t>
            </w:r>
          </w:p>
        </w:tc>
        <w:tc>
          <w:tcPr>
            <w:tcW w:w="1134" w:type="dxa"/>
            <w:shd w:val="clear" w:color="auto" w:fill="C5EAFF"/>
            <w:vAlign w:val="center"/>
            <w:hideMark/>
          </w:tcPr>
          <w:p w14:paraId="30E5A0F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745E06B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5635720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5B6449A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3169DCE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454CC9A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2DE12B4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3245A57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34EAD22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25092F" w:rsidRPr="00296E53" w14:paraId="4253F551" w14:textId="77777777" w:rsidTr="00EE79D4">
        <w:trPr>
          <w:trHeight w:val="20"/>
        </w:trPr>
        <w:tc>
          <w:tcPr>
            <w:tcW w:w="1083" w:type="dxa"/>
            <w:shd w:val="clear" w:color="auto" w:fill="C5EAFF"/>
            <w:vAlign w:val="center"/>
            <w:hideMark/>
          </w:tcPr>
          <w:p w14:paraId="4D76385D" w14:textId="77777777" w:rsidR="0025092F" w:rsidRPr="00296E53" w:rsidRDefault="0025092F" w:rsidP="0025092F">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4B5D3841" w14:textId="77777777" w:rsidR="0025092F" w:rsidRPr="00296E53" w:rsidRDefault="0025092F" w:rsidP="0025092F">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Productividad y Competitividad de las micro, pequeñas y medianas empresas</w:t>
            </w:r>
          </w:p>
        </w:tc>
        <w:tc>
          <w:tcPr>
            <w:tcW w:w="1134" w:type="dxa"/>
            <w:shd w:val="clear" w:color="auto" w:fill="C5EAFF"/>
            <w:vAlign w:val="center"/>
            <w:hideMark/>
          </w:tcPr>
          <w:p w14:paraId="5243E1BD" w14:textId="77777777" w:rsidR="0025092F" w:rsidRPr="00296E53" w:rsidRDefault="0025092F" w:rsidP="0025092F">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1137FE7B" w14:textId="77777777" w:rsidR="0025092F" w:rsidRPr="00296E53" w:rsidRDefault="0025092F" w:rsidP="0025092F">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2C2A80F6" w14:textId="6ACEA6AB" w:rsidR="0025092F" w:rsidRPr="00296E53" w:rsidRDefault="0025092F" w:rsidP="0025092F">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75A233C2" w14:textId="77777777" w:rsidR="0025092F" w:rsidRPr="00296E53" w:rsidRDefault="0025092F" w:rsidP="0025092F">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6AA883DF" w14:textId="77777777" w:rsidR="0025092F" w:rsidRPr="00296E53" w:rsidRDefault="0025092F" w:rsidP="0025092F">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C5EAFF"/>
            <w:vAlign w:val="center"/>
            <w:hideMark/>
          </w:tcPr>
          <w:p w14:paraId="5DD7FF84" w14:textId="77777777" w:rsidR="0025092F" w:rsidRPr="00296E53" w:rsidRDefault="0025092F" w:rsidP="0025092F">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42724E4F" w14:textId="77777777" w:rsidR="0025092F" w:rsidRPr="00296E53" w:rsidRDefault="0025092F" w:rsidP="0025092F">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363300FF" w14:textId="77777777" w:rsidR="0025092F" w:rsidRPr="00296E53" w:rsidRDefault="0025092F" w:rsidP="0025092F">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5DB9F760" w14:textId="77777777" w:rsidR="0025092F" w:rsidRPr="00296E53" w:rsidRDefault="0025092F" w:rsidP="0025092F">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5B42C4E" w14:textId="77777777" w:rsidTr="00EE79D4">
        <w:trPr>
          <w:trHeight w:val="20"/>
        </w:trPr>
        <w:tc>
          <w:tcPr>
            <w:tcW w:w="1083" w:type="dxa"/>
            <w:shd w:val="clear" w:color="auto" w:fill="C5EAFF"/>
            <w:vAlign w:val="center"/>
            <w:hideMark/>
          </w:tcPr>
          <w:p w14:paraId="29F6FD4B"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035FEA0F"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Encuestas</w:t>
            </w:r>
            <w:proofErr w:type="spellEnd"/>
            <w:r w:rsidRPr="00296E53">
              <w:rPr>
                <w:rFonts w:ascii="Century Gothic" w:eastAsia="Times New Roman" w:hAnsi="Century Gothic" w:cs="Arial"/>
                <w:color w:val="000000"/>
                <w:sz w:val="17"/>
                <w:szCs w:val="17"/>
                <w:lang w:val="en-US"/>
              </w:rPr>
              <w:t xml:space="preserve"> de Comercio</w:t>
            </w:r>
          </w:p>
        </w:tc>
        <w:tc>
          <w:tcPr>
            <w:tcW w:w="1134" w:type="dxa"/>
            <w:shd w:val="clear" w:color="auto" w:fill="C5EAFF"/>
            <w:vAlign w:val="center"/>
            <w:hideMark/>
          </w:tcPr>
          <w:p w14:paraId="11A303B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5D1404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379C506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02C5E4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CCF5AE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39DE3CF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1DD678D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47E5F1F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5B81981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FC1DE2C" w14:textId="77777777" w:rsidTr="00EE79D4">
        <w:trPr>
          <w:trHeight w:val="20"/>
        </w:trPr>
        <w:tc>
          <w:tcPr>
            <w:tcW w:w="1083" w:type="dxa"/>
            <w:shd w:val="clear" w:color="auto" w:fill="FFFFFF" w:themeFill="background1"/>
            <w:vAlign w:val="center"/>
            <w:hideMark/>
          </w:tcPr>
          <w:p w14:paraId="3C147B89"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8D41061"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Encuestas</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empresas</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constructoras</w:t>
            </w:r>
            <w:proofErr w:type="spellEnd"/>
          </w:p>
        </w:tc>
        <w:tc>
          <w:tcPr>
            <w:tcW w:w="1134" w:type="dxa"/>
            <w:shd w:val="clear" w:color="auto" w:fill="FFFFFF" w:themeFill="background1"/>
            <w:vAlign w:val="center"/>
            <w:hideMark/>
          </w:tcPr>
          <w:p w14:paraId="7A8562B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6A2985C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55FD5DF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40B65B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449D6C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4FC24EA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C50A1A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6C5671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4B5ED29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7707CB1F" w14:textId="77777777" w:rsidTr="00EE79D4">
        <w:trPr>
          <w:trHeight w:val="20"/>
        </w:trPr>
        <w:tc>
          <w:tcPr>
            <w:tcW w:w="1083" w:type="dxa"/>
            <w:shd w:val="clear" w:color="auto" w:fill="FFFFFF" w:themeFill="background1"/>
            <w:vAlign w:val="center"/>
            <w:hideMark/>
          </w:tcPr>
          <w:p w14:paraId="1B75065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3820974"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Encuestas</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opinión</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empresarial</w:t>
            </w:r>
            <w:proofErr w:type="spellEnd"/>
            <w:r w:rsidRPr="00296E53">
              <w:rPr>
                <w:rFonts w:ascii="Century Gothic" w:eastAsia="Times New Roman" w:hAnsi="Century Gothic" w:cs="Arial"/>
                <w:color w:val="000000"/>
                <w:sz w:val="17"/>
                <w:szCs w:val="17"/>
                <w:lang w:val="en-US"/>
              </w:rPr>
              <w:t>.</w:t>
            </w:r>
          </w:p>
        </w:tc>
        <w:tc>
          <w:tcPr>
            <w:tcW w:w="1134" w:type="dxa"/>
            <w:shd w:val="clear" w:color="auto" w:fill="FFFFFF" w:themeFill="background1"/>
            <w:vAlign w:val="center"/>
            <w:hideMark/>
          </w:tcPr>
          <w:p w14:paraId="5EB1A80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60878B7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4AFEA1F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599122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C59E7DC"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2020DBA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2796A14E"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FFFFFF" w:themeFill="background1"/>
            <w:vAlign w:val="center"/>
            <w:hideMark/>
          </w:tcPr>
          <w:p w14:paraId="58B703C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019C0D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1B959DD" w14:textId="77777777" w:rsidTr="00EE79D4">
        <w:trPr>
          <w:trHeight w:val="20"/>
        </w:trPr>
        <w:tc>
          <w:tcPr>
            <w:tcW w:w="1083" w:type="dxa"/>
            <w:shd w:val="clear" w:color="auto" w:fill="FFFFFF" w:themeFill="background1"/>
            <w:vAlign w:val="center"/>
            <w:hideMark/>
          </w:tcPr>
          <w:p w14:paraId="01086E5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3B7E778B"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Encuestas de servicios y transportes</w:t>
            </w:r>
          </w:p>
        </w:tc>
        <w:tc>
          <w:tcPr>
            <w:tcW w:w="1134" w:type="dxa"/>
            <w:shd w:val="clear" w:color="auto" w:fill="FFFFFF" w:themeFill="background1"/>
            <w:vAlign w:val="center"/>
            <w:hideMark/>
          </w:tcPr>
          <w:p w14:paraId="7DBCEB3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398422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132E62E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594189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D815F2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772C61D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7CB1520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9A6001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305D2DF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22735FB" w14:textId="77777777" w:rsidTr="00EE79D4">
        <w:trPr>
          <w:trHeight w:val="20"/>
        </w:trPr>
        <w:tc>
          <w:tcPr>
            <w:tcW w:w="1083" w:type="dxa"/>
            <w:shd w:val="clear" w:color="auto" w:fill="C5EAFF"/>
            <w:vAlign w:val="center"/>
            <w:hideMark/>
          </w:tcPr>
          <w:p w14:paraId="3EB933C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62050202"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Índice Nacional de Precios Consumidor</w:t>
            </w:r>
          </w:p>
        </w:tc>
        <w:tc>
          <w:tcPr>
            <w:tcW w:w="1134" w:type="dxa"/>
            <w:shd w:val="clear" w:color="auto" w:fill="C5EAFF"/>
            <w:vAlign w:val="center"/>
            <w:hideMark/>
          </w:tcPr>
          <w:p w14:paraId="752B02F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0E1D50F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15B8C79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6CCE935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4BF88C5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192C9D9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5FA6048A"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7F0910C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19D66D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B348712" w14:textId="77777777" w:rsidTr="00EE79D4">
        <w:trPr>
          <w:trHeight w:val="20"/>
        </w:trPr>
        <w:tc>
          <w:tcPr>
            <w:tcW w:w="1083" w:type="dxa"/>
            <w:shd w:val="clear" w:color="auto" w:fill="C5EAFF"/>
            <w:vAlign w:val="center"/>
            <w:hideMark/>
          </w:tcPr>
          <w:p w14:paraId="454EC7D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7A55148F"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Índice Nacional de Precios Productor</w:t>
            </w:r>
          </w:p>
        </w:tc>
        <w:tc>
          <w:tcPr>
            <w:tcW w:w="1134" w:type="dxa"/>
            <w:shd w:val="clear" w:color="auto" w:fill="C5EAFF"/>
            <w:vAlign w:val="center"/>
            <w:hideMark/>
          </w:tcPr>
          <w:p w14:paraId="2D02BE8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5D539E8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6BF4787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1CBDDFD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3B40417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2B1D868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26BF616F"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1709981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661DAA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37D5C68" w14:textId="77777777" w:rsidTr="00EE79D4">
        <w:trPr>
          <w:trHeight w:val="20"/>
        </w:trPr>
        <w:tc>
          <w:tcPr>
            <w:tcW w:w="1083" w:type="dxa"/>
            <w:shd w:val="clear" w:color="auto" w:fill="C5EAFF"/>
            <w:vAlign w:val="center"/>
            <w:hideMark/>
          </w:tcPr>
          <w:p w14:paraId="492E800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17F15E43"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Paridades de Poder de Compra</w:t>
            </w:r>
          </w:p>
        </w:tc>
        <w:tc>
          <w:tcPr>
            <w:tcW w:w="1134" w:type="dxa"/>
            <w:shd w:val="clear" w:color="auto" w:fill="C5EAFF"/>
            <w:vAlign w:val="center"/>
            <w:hideMark/>
          </w:tcPr>
          <w:p w14:paraId="21B9F72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764B39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3EDF70C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CF5CB1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C7C5067"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6825313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75DF0FB5"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096A7A1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54DA3DB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3D99BEC8" w14:textId="77777777" w:rsidTr="00EE79D4">
        <w:trPr>
          <w:trHeight w:val="20"/>
        </w:trPr>
        <w:tc>
          <w:tcPr>
            <w:tcW w:w="1083" w:type="dxa"/>
            <w:shd w:val="clear" w:color="auto" w:fill="FFFFFF" w:themeFill="background1"/>
            <w:vAlign w:val="center"/>
            <w:hideMark/>
          </w:tcPr>
          <w:p w14:paraId="0B4EE8F6"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6D4BDD69"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Accidentes</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Tránsito</w:t>
            </w:r>
            <w:proofErr w:type="spellEnd"/>
            <w:r w:rsidRPr="00296E53">
              <w:rPr>
                <w:rFonts w:ascii="Century Gothic" w:eastAsia="Times New Roman" w:hAnsi="Century Gothic" w:cs="Arial"/>
                <w:color w:val="000000"/>
                <w:sz w:val="17"/>
                <w:szCs w:val="17"/>
                <w:lang w:val="en-US"/>
              </w:rPr>
              <w:t xml:space="preserve"> Terrestre</w:t>
            </w:r>
          </w:p>
        </w:tc>
        <w:tc>
          <w:tcPr>
            <w:tcW w:w="1134" w:type="dxa"/>
            <w:shd w:val="clear" w:color="auto" w:fill="FFFFFF" w:themeFill="background1"/>
            <w:vAlign w:val="center"/>
            <w:hideMark/>
          </w:tcPr>
          <w:p w14:paraId="127A004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6D6881D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5D4B340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918FA9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3E525636"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77C229E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ECEB6B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B4594D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076B61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EC13402" w14:textId="77777777" w:rsidTr="00EE79D4">
        <w:trPr>
          <w:trHeight w:val="20"/>
        </w:trPr>
        <w:tc>
          <w:tcPr>
            <w:tcW w:w="1083" w:type="dxa"/>
            <w:shd w:val="clear" w:color="auto" w:fill="FFFFFF" w:themeFill="background1"/>
            <w:vAlign w:val="center"/>
            <w:hideMark/>
          </w:tcPr>
          <w:p w14:paraId="4E38E32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76E7F71"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Balanza Comercial de Mercancías de México</w:t>
            </w:r>
          </w:p>
        </w:tc>
        <w:tc>
          <w:tcPr>
            <w:tcW w:w="1134" w:type="dxa"/>
            <w:shd w:val="clear" w:color="auto" w:fill="FFFFFF" w:themeFill="background1"/>
            <w:vAlign w:val="center"/>
            <w:hideMark/>
          </w:tcPr>
          <w:p w14:paraId="651C081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F6E2AF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40727D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034B2D5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617028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6BC8B70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0E2385E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3D4C57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14A811D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DFA937F" w14:textId="77777777" w:rsidTr="00EE79D4">
        <w:trPr>
          <w:trHeight w:val="20"/>
        </w:trPr>
        <w:tc>
          <w:tcPr>
            <w:tcW w:w="1083" w:type="dxa"/>
            <w:shd w:val="clear" w:color="auto" w:fill="FFFFFF" w:themeFill="background1"/>
            <w:vAlign w:val="center"/>
            <w:hideMark/>
          </w:tcPr>
          <w:p w14:paraId="24F4EE78"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636D3ED8"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Finanzas Públicas Estatales y Municipales</w:t>
            </w:r>
          </w:p>
        </w:tc>
        <w:tc>
          <w:tcPr>
            <w:tcW w:w="1134" w:type="dxa"/>
            <w:shd w:val="clear" w:color="auto" w:fill="FFFFFF" w:themeFill="background1"/>
            <w:vAlign w:val="center"/>
            <w:hideMark/>
          </w:tcPr>
          <w:p w14:paraId="7110C8B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2BF13C6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60A6CAC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9BE173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0C8CD061"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1122CC6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7F08DAA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11B9BBF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1D6DF27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1E10CD2" w14:textId="77777777" w:rsidTr="00EE79D4">
        <w:trPr>
          <w:trHeight w:val="20"/>
        </w:trPr>
        <w:tc>
          <w:tcPr>
            <w:tcW w:w="1083" w:type="dxa"/>
            <w:shd w:val="clear" w:color="auto" w:fill="C5EAFF"/>
            <w:vAlign w:val="center"/>
            <w:hideMark/>
          </w:tcPr>
          <w:p w14:paraId="30F93CB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649A05B3"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Industria</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Minero</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metalúrgica</w:t>
            </w:r>
            <w:proofErr w:type="spellEnd"/>
          </w:p>
        </w:tc>
        <w:tc>
          <w:tcPr>
            <w:tcW w:w="1134" w:type="dxa"/>
            <w:shd w:val="clear" w:color="auto" w:fill="C5EAFF"/>
            <w:vAlign w:val="center"/>
            <w:hideMark/>
          </w:tcPr>
          <w:p w14:paraId="03D9951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4D3997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356B804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8253FC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480D2F54"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3CDD889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19CE42A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18E0D2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03FED29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5C76C55" w14:textId="77777777" w:rsidTr="00EE79D4">
        <w:trPr>
          <w:trHeight w:val="20"/>
        </w:trPr>
        <w:tc>
          <w:tcPr>
            <w:tcW w:w="1083" w:type="dxa"/>
            <w:shd w:val="clear" w:color="auto" w:fill="C5EAFF"/>
            <w:vAlign w:val="center"/>
            <w:hideMark/>
          </w:tcPr>
          <w:p w14:paraId="11B5AFB4"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022256F3"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Programa de la Industria Manufacturera, Maquiladora y de Servicios de Exportación</w:t>
            </w:r>
          </w:p>
        </w:tc>
        <w:tc>
          <w:tcPr>
            <w:tcW w:w="1134" w:type="dxa"/>
            <w:shd w:val="clear" w:color="auto" w:fill="C5EAFF"/>
            <w:vAlign w:val="center"/>
            <w:hideMark/>
          </w:tcPr>
          <w:p w14:paraId="7A6E517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7538FE8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2688806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5DB25A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E587905"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43276CA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5A7F8F6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6AADCC6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288808D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2A02582" w14:textId="77777777" w:rsidTr="00EE79D4">
        <w:trPr>
          <w:trHeight w:val="20"/>
        </w:trPr>
        <w:tc>
          <w:tcPr>
            <w:tcW w:w="1083" w:type="dxa"/>
            <w:shd w:val="clear" w:color="auto" w:fill="C5EAFF"/>
            <w:vAlign w:val="center"/>
            <w:hideMark/>
          </w:tcPr>
          <w:p w14:paraId="4E93BF0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1513B088"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Registro Estadístico de Negocios de México</w:t>
            </w:r>
          </w:p>
        </w:tc>
        <w:tc>
          <w:tcPr>
            <w:tcW w:w="1134" w:type="dxa"/>
            <w:shd w:val="clear" w:color="auto" w:fill="C5EAFF"/>
            <w:vAlign w:val="center"/>
            <w:hideMark/>
          </w:tcPr>
          <w:p w14:paraId="2F680E1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45F1B3D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648E1CD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3AF66CF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ABEB398"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20FC97B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1555755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0A82677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47C8EFB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r>
      <w:tr w:rsidR="00EE79D4" w:rsidRPr="00296E53" w14:paraId="7B385337" w14:textId="77777777" w:rsidTr="00EE79D4">
        <w:trPr>
          <w:trHeight w:val="20"/>
        </w:trPr>
        <w:tc>
          <w:tcPr>
            <w:tcW w:w="1083" w:type="dxa"/>
            <w:shd w:val="clear" w:color="auto" w:fill="FFFFFF" w:themeFill="background1"/>
            <w:vAlign w:val="center"/>
            <w:hideMark/>
          </w:tcPr>
          <w:p w14:paraId="54CB9549"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212B000B"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Sacrificio de Ganado en Rastros Municipales</w:t>
            </w:r>
          </w:p>
        </w:tc>
        <w:tc>
          <w:tcPr>
            <w:tcW w:w="1134" w:type="dxa"/>
            <w:shd w:val="clear" w:color="auto" w:fill="FFFFFF" w:themeFill="background1"/>
            <w:vAlign w:val="center"/>
            <w:hideMark/>
          </w:tcPr>
          <w:p w14:paraId="09AD6D6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D4AE63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D6F28C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C7CD8E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6C99D1A2"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640C2B2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1DFBE2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F8E88E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5A25E7B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3823D04" w14:textId="77777777" w:rsidTr="00EE79D4">
        <w:trPr>
          <w:trHeight w:val="20"/>
        </w:trPr>
        <w:tc>
          <w:tcPr>
            <w:tcW w:w="1083" w:type="dxa"/>
            <w:shd w:val="clear" w:color="auto" w:fill="FFFFFF" w:themeFill="background1"/>
            <w:vAlign w:val="center"/>
            <w:hideMark/>
          </w:tcPr>
          <w:p w14:paraId="3ADD541A"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57F02B4E"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Transporte</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Urbano</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Pasajeros</w:t>
            </w:r>
            <w:proofErr w:type="spellEnd"/>
          </w:p>
        </w:tc>
        <w:tc>
          <w:tcPr>
            <w:tcW w:w="1134" w:type="dxa"/>
            <w:shd w:val="clear" w:color="auto" w:fill="FFFFFF" w:themeFill="background1"/>
            <w:vAlign w:val="center"/>
            <w:hideMark/>
          </w:tcPr>
          <w:p w14:paraId="33BA429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0B98E9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0436532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3320663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CFE3986"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3FF1B8F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3751121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C2F4DE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7DCC591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4041DA7" w14:textId="77777777" w:rsidTr="00EE79D4">
        <w:trPr>
          <w:trHeight w:val="20"/>
        </w:trPr>
        <w:tc>
          <w:tcPr>
            <w:tcW w:w="1083" w:type="dxa"/>
            <w:shd w:val="clear" w:color="auto" w:fill="FFFFFF" w:themeFill="background1"/>
            <w:vAlign w:val="center"/>
            <w:hideMark/>
          </w:tcPr>
          <w:p w14:paraId="566B99E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8FBBF0E"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Vehículos de Motor registrados en circulación</w:t>
            </w:r>
          </w:p>
        </w:tc>
        <w:tc>
          <w:tcPr>
            <w:tcW w:w="1134" w:type="dxa"/>
            <w:shd w:val="clear" w:color="auto" w:fill="FFFFFF" w:themeFill="background1"/>
            <w:vAlign w:val="center"/>
            <w:hideMark/>
          </w:tcPr>
          <w:p w14:paraId="6CDD664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04A8DAA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5CD9091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0D3DA73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1143F0B9"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7676AE9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214B85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FF0A13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3D65C35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B3225CA" w14:textId="77777777" w:rsidTr="00EE79D4">
        <w:trPr>
          <w:trHeight w:val="20"/>
        </w:trPr>
        <w:tc>
          <w:tcPr>
            <w:tcW w:w="1083" w:type="dxa"/>
            <w:shd w:val="clear" w:color="auto" w:fill="C5EAFF"/>
            <w:vAlign w:val="center"/>
            <w:hideMark/>
          </w:tcPr>
          <w:p w14:paraId="2CF24DD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66A1C19E"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Vinculación</w:t>
            </w:r>
            <w:proofErr w:type="spellEnd"/>
            <w:r w:rsidRPr="00296E53">
              <w:rPr>
                <w:rFonts w:ascii="Century Gothic" w:eastAsia="Times New Roman" w:hAnsi="Century Gothic" w:cs="Arial"/>
                <w:color w:val="000000"/>
                <w:sz w:val="17"/>
                <w:szCs w:val="17"/>
                <w:lang w:val="en-US"/>
              </w:rPr>
              <w:t xml:space="preserve"> de </w:t>
            </w:r>
            <w:proofErr w:type="spellStart"/>
            <w:proofErr w:type="gramStart"/>
            <w:r w:rsidRPr="00296E53">
              <w:rPr>
                <w:rFonts w:ascii="Century Gothic" w:eastAsia="Times New Roman" w:hAnsi="Century Gothic" w:cs="Arial"/>
                <w:color w:val="000000"/>
                <w:sz w:val="17"/>
                <w:szCs w:val="17"/>
                <w:lang w:val="en-US"/>
              </w:rPr>
              <w:t>Registros</w:t>
            </w:r>
            <w:proofErr w:type="spellEnd"/>
            <w:r w:rsidRPr="00296E53">
              <w:rPr>
                <w:rFonts w:ascii="Century Gothic" w:eastAsia="Times New Roman" w:hAnsi="Century Gothic" w:cs="Arial"/>
                <w:color w:val="000000"/>
                <w:sz w:val="17"/>
                <w:szCs w:val="17"/>
                <w:lang w:val="en-US"/>
              </w:rPr>
              <w:t xml:space="preserve">  </w:t>
            </w:r>
            <w:proofErr w:type="spellStart"/>
            <w:r w:rsidR="0076337C" w:rsidRPr="00296E53">
              <w:rPr>
                <w:rFonts w:ascii="Century Gothic" w:eastAsia="Times New Roman" w:hAnsi="Century Gothic" w:cs="Arial"/>
                <w:color w:val="000000"/>
                <w:sz w:val="17"/>
                <w:szCs w:val="17"/>
                <w:lang w:val="en-US"/>
              </w:rPr>
              <w:t>A</w:t>
            </w:r>
            <w:r w:rsidRPr="00296E53">
              <w:rPr>
                <w:rFonts w:ascii="Century Gothic" w:eastAsia="Times New Roman" w:hAnsi="Century Gothic" w:cs="Arial"/>
                <w:color w:val="000000"/>
                <w:sz w:val="17"/>
                <w:szCs w:val="17"/>
                <w:lang w:val="en-US"/>
              </w:rPr>
              <w:t>dministrativos</w:t>
            </w:r>
            <w:proofErr w:type="spellEnd"/>
            <w:proofErr w:type="gramEnd"/>
          </w:p>
        </w:tc>
        <w:tc>
          <w:tcPr>
            <w:tcW w:w="1134" w:type="dxa"/>
            <w:shd w:val="clear" w:color="auto" w:fill="C5EAFF"/>
            <w:vAlign w:val="center"/>
            <w:hideMark/>
          </w:tcPr>
          <w:p w14:paraId="668DBC4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667D405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6E1950A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5C38A9E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4D9FD06"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39CC925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7815FD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7EB19DE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7F04836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r>
      <w:tr w:rsidR="00EE79D4" w:rsidRPr="00296E53" w14:paraId="671BA92D" w14:textId="77777777" w:rsidTr="00EE79D4">
        <w:trPr>
          <w:trHeight w:val="20"/>
        </w:trPr>
        <w:tc>
          <w:tcPr>
            <w:tcW w:w="1083" w:type="dxa"/>
            <w:shd w:val="clear" w:color="auto" w:fill="C5EAFF"/>
            <w:vAlign w:val="center"/>
            <w:hideMark/>
          </w:tcPr>
          <w:p w14:paraId="7DE09DB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2D0F152D"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Derechos Humanos Estatal</w:t>
            </w:r>
          </w:p>
        </w:tc>
        <w:tc>
          <w:tcPr>
            <w:tcW w:w="1134" w:type="dxa"/>
            <w:shd w:val="clear" w:color="auto" w:fill="C5EAFF"/>
            <w:vAlign w:val="center"/>
            <w:hideMark/>
          </w:tcPr>
          <w:p w14:paraId="36AC32E5"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072942F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54FB24B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41BD888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F2AA3E4"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41DE324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043C90F6"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2291F0C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53CFD49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3B97B7F" w14:textId="77777777" w:rsidTr="00EE79D4">
        <w:trPr>
          <w:trHeight w:val="20"/>
        </w:trPr>
        <w:tc>
          <w:tcPr>
            <w:tcW w:w="1083" w:type="dxa"/>
            <w:shd w:val="clear" w:color="auto" w:fill="C5EAFF"/>
            <w:vAlign w:val="center"/>
            <w:hideMark/>
          </w:tcPr>
          <w:p w14:paraId="2B361B0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55B6F8A3"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Derechos Humanos Federal</w:t>
            </w:r>
          </w:p>
        </w:tc>
        <w:tc>
          <w:tcPr>
            <w:tcW w:w="1134" w:type="dxa"/>
            <w:shd w:val="clear" w:color="auto" w:fill="C5EAFF"/>
            <w:vAlign w:val="center"/>
            <w:hideMark/>
          </w:tcPr>
          <w:p w14:paraId="676D680B"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6B3D5E3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2C5527B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59E29F4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66055F47"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772503A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62091359"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113831D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33DD169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D998AEC" w14:textId="77777777" w:rsidTr="00EE79D4">
        <w:trPr>
          <w:trHeight w:val="20"/>
        </w:trPr>
        <w:tc>
          <w:tcPr>
            <w:tcW w:w="1083" w:type="dxa"/>
            <w:shd w:val="clear" w:color="auto" w:fill="FFFFFF" w:themeFill="background1"/>
            <w:vAlign w:val="center"/>
            <w:hideMark/>
          </w:tcPr>
          <w:p w14:paraId="3DC397A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139D6CF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Gobierno Federal</w:t>
            </w:r>
          </w:p>
        </w:tc>
        <w:tc>
          <w:tcPr>
            <w:tcW w:w="1134" w:type="dxa"/>
            <w:shd w:val="clear" w:color="auto" w:fill="FFFFFF" w:themeFill="background1"/>
            <w:vAlign w:val="center"/>
            <w:hideMark/>
          </w:tcPr>
          <w:p w14:paraId="196AC36F"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2FD84288"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167D20A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595A071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6DD01E67"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642B561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D91C5B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C5B84E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E076AD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3C58BF31" w14:textId="77777777" w:rsidTr="00EE79D4">
        <w:trPr>
          <w:trHeight w:val="20"/>
        </w:trPr>
        <w:tc>
          <w:tcPr>
            <w:tcW w:w="1083" w:type="dxa"/>
            <w:shd w:val="clear" w:color="auto" w:fill="FFFFFF" w:themeFill="background1"/>
            <w:vAlign w:val="center"/>
            <w:hideMark/>
          </w:tcPr>
          <w:p w14:paraId="3673660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041D58AF"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Gobierno, Seguridad Pública y Sistema Penitenciario Estatales</w:t>
            </w:r>
          </w:p>
        </w:tc>
        <w:tc>
          <w:tcPr>
            <w:tcW w:w="1134" w:type="dxa"/>
            <w:shd w:val="clear" w:color="auto" w:fill="FFFFFF" w:themeFill="background1"/>
            <w:vAlign w:val="center"/>
            <w:hideMark/>
          </w:tcPr>
          <w:p w14:paraId="74DFF20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4E543F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11028C3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29CAEFC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95E7E0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6916150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0F32A89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57B191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7E7DD4C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F9B835A" w14:textId="77777777" w:rsidTr="00EE79D4">
        <w:trPr>
          <w:trHeight w:val="20"/>
        </w:trPr>
        <w:tc>
          <w:tcPr>
            <w:tcW w:w="1083" w:type="dxa"/>
            <w:shd w:val="clear" w:color="auto" w:fill="FFFFFF" w:themeFill="background1"/>
            <w:vAlign w:val="center"/>
            <w:hideMark/>
          </w:tcPr>
          <w:p w14:paraId="33ABA008"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5A271597"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Gobiernos Municipales y Demarcaciones Territoriales de la Ciudad de México</w:t>
            </w:r>
          </w:p>
        </w:tc>
        <w:tc>
          <w:tcPr>
            <w:tcW w:w="1134" w:type="dxa"/>
            <w:shd w:val="clear" w:color="auto" w:fill="FFFFFF" w:themeFill="background1"/>
            <w:vAlign w:val="center"/>
            <w:hideMark/>
          </w:tcPr>
          <w:p w14:paraId="2874350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0D22E1A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E3684A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5C8CBA9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1DDFE3B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3130A72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328A10D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75B4B10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FF7C70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3DFAA7D" w14:textId="77777777" w:rsidTr="00EE79D4">
        <w:trPr>
          <w:trHeight w:val="20"/>
        </w:trPr>
        <w:tc>
          <w:tcPr>
            <w:tcW w:w="1083" w:type="dxa"/>
            <w:shd w:val="clear" w:color="auto" w:fill="C5EAFF"/>
            <w:vAlign w:val="center"/>
            <w:hideMark/>
          </w:tcPr>
          <w:p w14:paraId="1C0B00CB"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6D2A3134"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Impartición de Justicia Estatal</w:t>
            </w:r>
          </w:p>
        </w:tc>
        <w:tc>
          <w:tcPr>
            <w:tcW w:w="1134" w:type="dxa"/>
            <w:shd w:val="clear" w:color="auto" w:fill="C5EAFF"/>
            <w:vAlign w:val="center"/>
            <w:hideMark/>
          </w:tcPr>
          <w:p w14:paraId="06AE8058"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6F7E6B8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5FF0501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213E77B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7483D27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002E0C6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019E97E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3C36FD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24AE758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63D7F98" w14:textId="77777777" w:rsidTr="00EE79D4">
        <w:trPr>
          <w:trHeight w:val="20"/>
        </w:trPr>
        <w:tc>
          <w:tcPr>
            <w:tcW w:w="1083" w:type="dxa"/>
            <w:shd w:val="clear" w:color="auto" w:fill="C5EAFF"/>
            <w:vAlign w:val="center"/>
            <w:hideMark/>
          </w:tcPr>
          <w:p w14:paraId="469C4D3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754AD540"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Impartición de Justicia Federal</w:t>
            </w:r>
          </w:p>
        </w:tc>
        <w:tc>
          <w:tcPr>
            <w:tcW w:w="1134" w:type="dxa"/>
            <w:shd w:val="clear" w:color="auto" w:fill="C5EAFF"/>
            <w:vAlign w:val="center"/>
            <w:hideMark/>
          </w:tcPr>
          <w:p w14:paraId="52E3E0C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0B32F4C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3CE46E6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226B1FA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2AB4901"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001C695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5D019D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220ABE6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11362BD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ABC8E97" w14:textId="77777777" w:rsidTr="00EE79D4">
        <w:trPr>
          <w:trHeight w:val="20"/>
        </w:trPr>
        <w:tc>
          <w:tcPr>
            <w:tcW w:w="1083" w:type="dxa"/>
            <w:shd w:val="clear" w:color="auto" w:fill="C5EAFF"/>
            <w:vAlign w:val="center"/>
            <w:hideMark/>
          </w:tcPr>
          <w:p w14:paraId="6054E0E7"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3344F355"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Poderes Legislativos Estatales</w:t>
            </w:r>
          </w:p>
        </w:tc>
        <w:tc>
          <w:tcPr>
            <w:tcW w:w="1134" w:type="dxa"/>
            <w:shd w:val="clear" w:color="auto" w:fill="C5EAFF"/>
            <w:vAlign w:val="center"/>
            <w:hideMark/>
          </w:tcPr>
          <w:p w14:paraId="7737CF8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332265F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49AE4D15"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3ECFF9B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4BACC311"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C5EAFF"/>
            <w:vAlign w:val="center"/>
            <w:hideMark/>
          </w:tcPr>
          <w:p w14:paraId="3DC4433C"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C5EAFF"/>
            <w:vAlign w:val="center"/>
            <w:hideMark/>
          </w:tcPr>
          <w:p w14:paraId="2D542964"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155" w:type="dxa"/>
            <w:shd w:val="clear" w:color="auto" w:fill="C5EAFF"/>
            <w:vAlign w:val="center"/>
            <w:hideMark/>
          </w:tcPr>
          <w:p w14:paraId="10C4BDF1"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07" w:type="dxa"/>
            <w:shd w:val="clear" w:color="auto" w:fill="C5EAFF"/>
            <w:vAlign w:val="center"/>
            <w:hideMark/>
          </w:tcPr>
          <w:p w14:paraId="66B78D8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D5EAD78" w14:textId="77777777" w:rsidTr="00EE79D4">
        <w:trPr>
          <w:trHeight w:val="20"/>
        </w:trPr>
        <w:tc>
          <w:tcPr>
            <w:tcW w:w="1083" w:type="dxa"/>
            <w:shd w:val="clear" w:color="auto" w:fill="FFFFFF" w:themeFill="background1"/>
            <w:vAlign w:val="center"/>
            <w:hideMark/>
          </w:tcPr>
          <w:p w14:paraId="1EB712F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705E8A74"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Procuración de Justicia Estatal</w:t>
            </w:r>
          </w:p>
        </w:tc>
        <w:tc>
          <w:tcPr>
            <w:tcW w:w="1134" w:type="dxa"/>
            <w:shd w:val="clear" w:color="auto" w:fill="FFFFFF" w:themeFill="background1"/>
            <w:vAlign w:val="center"/>
            <w:hideMark/>
          </w:tcPr>
          <w:p w14:paraId="75F27B5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727305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419CAB0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325A42D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BC2683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7C254F2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3E5ACCC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C6EFC4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08D1380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9DAF3AA" w14:textId="77777777" w:rsidTr="00EE79D4">
        <w:trPr>
          <w:trHeight w:val="20"/>
        </w:trPr>
        <w:tc>
          <w:tcPr>
            <w:tcW w:w="1083" w:type="dxa"/>
            <w:shd w:val="clear" w:color="auto" w:fill="FFFFFF" w:themeFill="background1"/>
            <w:vAlign w:val="center"/>
            <w:hideMark/>
          </w:tcPr>
          <w:p w14:paraId="1431C16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53D4E947"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Procuración de Justicia Federal</w:t>
            </w:r>
          </w:p>
        </w:tc>
        <w:tc>
          <w:tcPr>
            <w:tcW w:w="1134" w:type="dxa"/>
            <w:shd w:val="clear" w:color="auto" w:fill="FFFFFF" w:themeFill="background1"/>
            <w:vAlign w:val="center"/>
            <w:hideMark/>
          </w:tcPr>
          <w:p w14:paraId="2A061B5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47549F11"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146738A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56F61518"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3994282A"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03D5A30F"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35DD3B1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3307D2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763E29E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E9C3DD3" w14:textId="77777777" w:rsidTr="00EE79D4">
        <w:trPr>
          <w:trHeight w:val="20"/>
        </w:trPr>
        <w:tc>
          <w:tcPr>
            <w:tcW w:w="1083" w:type="dxa"/>
            <w:shd w:val="clear" w:color="auto" w:fill="FFFFFF" w:themeFill="background1"/>
            <w:vAlign w:val="center"/>
            <w:hideMark/>
          </w:tcPr>
          <w:p w14:paraId="6FC2A2B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18E8234A"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Seguridad Pública Federal</w:t>
            </w:r>
          </w:p>
        </w:tc>
        <w:tc>
          <w:tcPr>
            <w:tcW w:w="1134" w:type="dxa"/>
            <w:shd w:val="clear" w:color="auto" w:fill="FFFFFF" w:themeFill="background1"/>
            <w:vAlign w:val="center"/>
            <w:hideMark/>
          </w:tcPr>
          <w:p w14:paraId="1C9E905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0A145E3B"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4A6FC43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3CC84AF3" w14:textId="601E8034" w:rsidR="00F34563" w:rsidRPr="000A4B13" w:rsidRDefault="00F34563" w:rsidP="006C71D1">
            <w:pPr>
              <w:spacing w:after="0" w:line="240" w:lineRule="auto"/>
              <w:jc w:val="center"/>
              <w:rPr>
                <w:rFonts w:ascii="Century Gothic" w:eastAsia="Times New Roman" w:hAnsi="Century Gothic" w:cs="Arial"/>
                <w:b/>
                <w:bCs/>
                <w:sz w:val="17"/>
                <w:szCs w:val="17"/>
              </w:rPr>
            </w:pPr>
          </w:p>
        </w:tc>
        <w:tc>
          <w:tcPr>
            <w:tcW w:w="1276" w:type="dxa"/>
            <w:shd w:val="clear" w:color="auto" w:fill="FFFFFF" w:themeFill="background1"/>
            <w:vAlign w:val="center"/>
            <w:hideMark/>
          </w:tcPr>
          <w:p w14:paraId="6AF0309B" w14:textId="77777777" w:rsidR="00F34563" w:rsidRPr="000A4B13" w:rsidRDefault="00F34563" w:rsidP="006C71D1">
            <w:pPr>
              <w:spacing w:after="0" w:line="240" w:lineRule="auto"/>
              <w:jc w:val="center"/>
              <w:rPr>
                <w:rFonts w:ascii="Century Gothic" w:eastAsia="Times New Roman" w:hAnsi="Century Gothic" w:cs="Arial"/>
                <w:sz w:val="17"/>
                <w:szCs w:val="17"/>
              </w:rPr>
            </w:pPr>
            <w:r w:rsidRPr="000A4B13">
              <w:rPr>
                <w:rFonts w:ascii="Century Gothic" w:eastAsia="Times New Roman" w:hAnsi="Century Gothic" w:cs="Arial"/>
                <w:sz w:val="17"/>
                <w:szCs w:val="17"/>
              </w:rPr>
              <w:t> </w:t>
            </w:r>
          </w:p>
        </w:tc>
        <w:tc>
          <w:tcPr>
            <w:tcW w:w="1293" w:type="dxa"/>
            <w:shd w:val="clear" w:color="auto" w:fill="FFFFFF" w:themeFill="background1"/>
            <w:vAlign w:val="center"/>
            <w:hideMark/>
          </w:tcPr>
          <w:p w14:paraId="1B858C78" w14:textId="77777777" w:rsidR="00F34563" w:rsidRPr="000A4B13" w:rsidRDefault="00F34563" w:rsidP="006C71D1">
            <w:pPr>
              <w:spacing w:after="0" w:line="240" w:lineRule="auto"/>
              <w:jc w:val="center"/>
              <w:rPr>
                <w:rFonts w:ascii="Century Gothic" w:eastAsia="Times New Roman" w:hAnsi="Century Gothic" w:cs="Arial"/>
                <w:b/>
                <w:bCs/>
                <w:sz w:val="17"/>
                <w:szCs w:val="17"/>
              </w:rPr>
            </w:pPr>
            <w:r w:rsidRPr="000A4B1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6D6A894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B21065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2CFC1AC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670F3AC" w14:textId="77777777" w:rsidTr="00EE79D4">
        <w:trPr>
          <w:trHeight w:val="20"/>
        </w:trPr>
        <w:tc>
          <w:tcPr>
            <w:tcW w:w="1083" w:type="dxa"/>
            <w:shd w:val="clear" w:color="auto" w:fill="C5EAFF"/>
            <w:vAlign w:val="center"/>
            <w:hideMark/>
          </w:tcPr>
          <w:p w14:paraId="2AFCB95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3C5E4752"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Transparencia, Acceso a la Información Pública y Protección de Datos Personales Estatal</w:t>
            </w:r>
          </w:p>
        </w:tc>
        <w:tc>
          <w:tcPr>
            <w:tcW w:w="1134" w:type="dxa"/>
            <w:shd w:val="clear" w:color="auto" w:fill="C5EAFF"/>
            <w:vAlign w:val="center"/>
            <w:hideMark/>
          </w:tcPr>
          <w:p w14:paraId="07E2E80A"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26EC738B"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58195FE8"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60811AE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53F1DEAB"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C5EAFF"/>
            <w:vAlign w:val="center"/>
            <w:hideMark/>
          </w:tcPr>
          <w:p w14:paraId="00F81C4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4962186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C5EAFF"/>
            <w:vAlign w:val="center"/>
            <w:hideMark/>
          </w:tcPr>
          <w:p w14:paraId="534DFE6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7224BCE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4F7177E" w14:textId="77777777" w:rsidTr="00EE79D4">
        <w:trPr>
          <w:trHeight w:val="20"/>
        </w:trPr>
        <w:tc>
          <w:tcPr>
            <w:tcW w:w="1083" w:type="dxa"/>
            <w:shd w:val="clear" w:color="auto" w:fill="C5EAFF"/>
            <w:vAlign w:val="center"/>
            <w:hideMark/>
          </w:tcPr>
          <w:p w14:paraId="3640AEA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6A7A0E98"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Transparencia, Acceso a la Información Pública y Protección de Datos Personales Federal</w:t>
            </w:r>
          </w:p>
        </w:tc>
        <w:tc>
          <w:tcPr>
            <w:tcW w:w="1134" w:type="dxa"/>
            <w:shd w:val="clear" w:color="auto" w:fill="C5EAFF"/>
            <w:vAlign w:val="center"/>
            <w:hideMark/>
          </w:tcPr>
          <w:p w14:paraId="678EBEB3"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6A36BEE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51478B80"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40BF7B93"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0CF49A96"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C5EAFF"/>
            <w:vAlign w:val="center"/>
            <w:hideMark/>
          </w:tcPr>
          <w:p w14:paraId="1EDB1A5A"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C5EAFF"/>
            <w:vAlign w:val="center"/>
            <w:hideMark/>
          </w:tcPr>
          <w:p w14:paraId="568EA877"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155" w:type="dxa"/>
            <w:shd w:val="clear" w:color="auto" w:fill="C5EAFF"/>
            <w:vAlign w:val="center"/>
            <w:hideMark/>
          </w:tcPr>
          <w:p w14:paraId="39E1B8CB"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07" w:type="dxa"/>
            <w:shd w:val="clear" w:color="auto" w:fill="C5EAFF"/>
            <w:vAlign w:val="center"/>
            <w:hideMark/>
          </w:tcPr>
          <w:p w14:paraId="237B1C3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2B4A43F" w14:textId="77777777" w:rsidTr="00EE79D4">
        <w:trPr>
          <w:trHeight w:val="20"/>
        </w:trPr>
        <w:tc>
          <w:tcPr>
            <w:tcW w:w="1083" w:type="dxa"/>
            <w:shd w:val="clear" w:color="auto" w:fill="C5EAFF"/>
            <w:vAlign w:val="center"/>
            <w:hideMark/>
          </w:tcPr>
          <w:p w14:paraId="564D139D"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65F65BE1"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del Sistema Penitenciario Federal</w:t>
            </w:r>
          </w:p>
        </w:tc>
        <w:tc>
          <w:tcPr>
            <w:tcW w:w="1134" w:type="dxa"/>
            <w:shd w:val="clear" w:color="auto" w:fill="C5EAFF"/>
            <w:vAlign w:val="center"/>
            <w:hideMark/>
          </w:tcPr>
          <w:p w14:paraId="372FAB85"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3AD3CC8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6A5B491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4B10BC18" w14:textId="0D29318C"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r w:rsidR="00932B1E"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5C0CC766"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714A765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50AB8D4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6056A46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76ED8FD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FB00F40" w14:textId="77777777" w:rsidTr="00EE79D4">
        <w:trPr>
          <w:trHeight w:val="20"/>
        </w:trPr>
        <w:tc>
          <w:tcPr>
            <w:tcW w:w="1083" w:type="dxa"/>
            <w:shd w:val="clear" w:color="auto" w:fill="FFFFFF" w:themeFill="background1"/>
            <w:vAlign w:val="center"/>
            <w:hideMark/>
          </w:tcPr>
          <w:p w14:paraId="370DB6B7"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24275C4E"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Acceso a la Información Pública y Protección de Datos Personales</w:t>
            </w:r>
          </w:p>
        </w:tc>
        <w:tc>
          <w:tcPr>
            <w:tcW w:w="1134" w:type="dxa"/>
            <w:shd w:val="clear" w:color="auto" w:fill="FFFFFF" w:themeFill="background1"/>
            <w:vAlign w:val="center"/>
            <w:hideMark/>
          </w:tcPr>
          <w:p w14:paraId="150CDD4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299298F5"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7802BB81"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1BE02F2A"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027E15EF"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3A1C23BA"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64936F5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72416A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0E85022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3F4B183" w14:textId="77777777" w:rsidTr="00EE79D4">
        <w:trPr>
          <w:trHeight w:val="20"/>
        </w:trPr>
        <w:tc>
          <w:tcPr>
            <w:tcW w:w="1083" w:type="dxa"/>
            <w:shd w:val="clear" w:color="auto" w:fill="FFFFFF" w:themeFill="background1"/>
            <w:vAlign w:val="center"/>
            <w:hideMark/>
          </w:tcPr>
          <w:p w14:paraId="4045BA81"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4E10BFCD"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Calidad e Impacto Gubernamental</w:t>
            </w:r>
          </w:p>
        </w:tc>
        <w:tc>
          <w:tcPr>
            <w:tcW w:w="1134" w:type="dxa"/>
            <w:shd w:val="clear" w:color="auto" w:fill="FFFFFF" w:themeFill="background1"/>
            <w:vAlign w:val="center"/>
            <w:hideMark/>
          </w:tcPr>
          <w:p w14:paraId="739B0C9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1E3FC78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FD5DCC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1A82D51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2835D2A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33DF682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CAC447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17CB52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6E3A770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76C669B7" w14:textId="77777777" w:rsidTr="00EE79D4">
        <w:trPr>
          <w:trHeight w:val="20"/>
        </w:trPr>
        <w:tc>
          <w:tcPr>
            <w:tcW w:w="1083" w:type="dxa"/>
            <w:shd w:val="clear" w:color="auto" w:fill="FFFFFF" w:themeFill="background1"/>
            <w:vAlign w:val="center"/>
            <w:hideMark/>
          </w:tcPr>
          <w:p w14:paraId="6D4ADF81"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6C6D4DC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Calidad Regulatoria e Impacto Gubernamental en Empresas de la Ciudad de México</w:t>
            </w:r>
          </w:p>
        </w:tc>
        <w:tc>
          <w:tcPr>
            <w:tcW w:w="1134" w:type="dxa"/>
            <w:shd w:val="clear" w:color="auto" w:fill="FFFFFF" w:themeFill="background1"/>
            <w:vAlign w:val="center"/>
            <w:hideMark/>
          </w:tcPr>
          <w:p w14:paraId="384E87B7"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37B95405"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5BD903C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2F73D45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09A52981"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2035F9E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51C1DE8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15839ED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7570785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A73641F" w14:textId="77777777" w:rsidTr="00EE79D4">
        <w:trPr>
          <w:trHeight w:val="20"/>
        </w:trPr>
        <w:tc>
          <w:tcPr>
            <w:tcW w:w="1083" w:type="dxa"/>
            <w:shd w:val="clear" w:color="auto" w:fill="C5EAFF"/>
            <w:vAlign w:val="center"/>
            <w:hideMark/>
          </w:tcPr>
          <w:p w14:paraId="34D27AE8"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09C1DFA4"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 xml:space="preserve">Encuesta Nacional de Seguridad Pública Urbana </w:t>
            </w:r>
          </w:p>
        </w:tc>
        <w:tc>
          <w:tcPr>
            <w:tcW w:w="1134" w:type="dxa"/>
            <w:shd w:val="clear" w:color="auto" w:fill="C5EAFF"/>
            <w:vAlign w:val="center"/>
            <w:hideMark/>
          </w:tcPr>
          <w:p w14:paraId="6DAD436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2AFEF845"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128737A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686F9BB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CB4F02E"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646ED97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0B9AAD3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47F4B74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1229036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352A528D" w14:textId="77777777" w:rsidTr="00EE79D4">
        <w:trPr>
          <w:trHeight w:val="20"/>
        </w:trPr>
        <w:tc>
          <w:tcPr>
            <w:tcW w:w="1083" w:type="dxa"/>
            <w:shd w:val="clear" w:color="auto" w:fill="C5EAFF"/>
            <w:vAlign w:val="center"/>
            <w:hideMark/>
          </w:tcPr>
          <w:p w14:paraId="47D4E8D4"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4DF4F89D"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Victimización de Empresas</w:t>
            </w:r>
          </w:p>
        </w:tc>
        <w:tc>
          <w:tcPr>
            <w:tcW w:w="1134" w:type="dxa"/>
            <w:shd w:val="clear" w:color="auto" w:fill="C5EAFF"/>
            <w:vAlign w:val="center"/>
            <w:hideMark/>
          </w:tcPr>
          <w:p w14:paraId="49F27294"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752285E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487815E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41EE47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6D27527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1892D22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5394196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73A0317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63970F1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7BC87FAD" w14:textId="77777777" w:rsidTr="00EE79D4">
        <w:trPr>
          <w:trHeight w:val="20"/>
        </w:trPr>
        <w:tc>
          <w:tcPr>
            <w:tcW w:w="1083" w:type="dxa"/>
            <w:shd w:val="clear" w:color="auto" w:fill="C5EAFF"/>
            <w:vAlign w:val="center"/>
            <w:hideMark/>
          </w:tcPr>
          <w:p w14:paraId="33ADAE5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2906CFA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Victimización y Percepción sobre Seguridad Pública</w:t>
            </w:r>
          </w:p>
        </w:tc>
        <w:tc>
          <w:tcPr>
            <w:tcW w:w="1134" w:type="dxa"/>
            <w:shd w:val="clear" w:color="auto" w:fill="C5EAFF"/>
            <w:vAlign w:val="center"/>
            <w:hideMark/>
          </w:tcPr>
          <w:p w14:paraId="0559C19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5F63A77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0D1CB7F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21C9F42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5BA8D80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77739C0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293536B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7982097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0CB0F58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7DF0A618" w14:textId="77777777" w:rsidTr="00EE79D4">
        <w:trPr>
          <w:trHeight w:val="20"/>
        </w:trPr>
        <w:tc>
          <w:tcPr>
            <w:tcW w:w="1083" w:type="dxa"/>
            <w:shd w:val="clear" w:color="auto" w:fill="FFFFFF" w:themeFill="background1"/>
            <w:vAlign w:val="center"/>
            <w:hideMark/>
          </w:tcPr>
          <w:p w14:paraId="55D71A2A"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3813A316"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la Dinámica de las Relaciones en los Hogares</w:t>
            </w:r>
          </w:p>
        </w:tc>
        <w:tc>
          <w:tcPr>
            <w:tcW w:w="1134" w:type="dxa"/>
            <w:shd w:val="clear" w:color="auto" w:fill="FFFFFF" w:themeFill="background1"/>
            <w:vAlign w:val="center"/>
            <w:hideMark/>
          </w:tcPr>
          <w:p w14:paraId="6464570F"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786CD30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1E7D78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3644542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65D04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6976496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79EAD57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410B7F3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711CEE5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0476AF0" w14:textId="77777777" w:rsidTr="00EE79D4">
        <w:trPr>
          <w:trHeight w:val="20"/>
        </w:trPr>
        <w:tc>
          <w:tcPr>
            <w:tcW w:w="1083" w:type="dxa"/>
            <w:shd w:val="clear" w:color="auto" w:fill="FFFFFF" w:themeFill="background1"/>
            <w:vAlign w:val="center"/>
            <w:hideMark/>
          </w:tcPr>
          <w:p w14:paraId="1420D7F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4B08D759" w14:textId="77777777" w:rsidR="00F34563" w:rsidRPr="00296E53" w:rsidRDefault="00F34563" w:rsidP="006C71D1">
            <w:pPr>
              <w:spacing w:after="0" w:line="240" w:lineRule="auto"/>
              <w:rPr>
                <w:rFonts w:ascii="Century Gothic" w:eastAsia="Times New Roman" w:hAnsi="Century Gothic" w:cs="Arial"/>
                <w:sz w:val="17"/>
                <w:szCs w:val="17"/>
                <w:lang w:val="en-US"/>
              </w:rPr>
            </w:pPr>
            <w:proofErr w:type="spellStart"/>
            <w:r w:rsidRPr="00296E53">
              <w:rPr>
                <w:rFonts w:ascii="Century Gothic" w:eastAsia="Times New Roman" w:hAnsi="Century Gothic" w:cs="Arial"/>
                <w:sz w:val="17"/>
                <w:szCs w:val="17"/>
                <w:lang w:val="en-US"/>
              </w:rPr>
              <w:t>Módulo</w:t>
            </w:r>
            <w:proofErr w:type="spellEnd"/>
            <w:r w:rsidRPr="00296E53">
              <w:rPr>
                <w:rFonts w:ascii="Century Gothic" w:eastAsia="Times New Roman" w:hAnsi="Century Gothic" w:cs="Arial"/>
                <w:sz w:val="17"/>
                <w:szCs w:val="17"/>
                <w:lang w:val="en-US"/>
              </w:rPr>
              <w:t xml:space="preserve"> </w:t>
            </w:r>
            <w:proofErr w:type="spellStart"/>
            <w:r w:rsidRPr="00296E53">
              <w:rPr>
                <w:rFonts w:ascii="Century Gothic" w:eastAsia="Times New Roman" w:hAnsi="Century Gothic" w:cs="Arial"/>
                <w:sz w:val="17"/>
                <w:szCs w:val="17"/>
                <w:lang w:val="en-US"/>
              </w:rPr>
              <w:t>sobre</w:t>
            </w:r>
            <w:proofErr w:type="spellEnd"/>
            <w:r w:rsidRPr="00296E53">
              <w:rPr>
                <w:rFonts w:ascii="Century Gothic" w:eastAsia="Times New Roman" w:hAnsi="Century Gothic" w:cs="Arial"/>
                <w:sz w:val="17"/>
                <w:szCs w:val="17"/>
                <w:lang w:val="en-US"/>
              </w:rPr>
              <w:t xml:space="preserve"> </w:t>
            </w:r>
            <w:proofErr w:type="spellStart"/>
            <w:r w:rsidRPr="00296E53">
              <w:rPr>
                <w:rFonts w:ascii="Century Gothic" w:eastAsia="Times New Roman" w:hAnsi="Century Gothic" w:cs="Arial"/>
                <w:sz w:val="17"/>
                <w:szCs w:val="17"/>
                <w:lang w:val="en-US"/>
              </w:rPr>
              <w:t>Ciberacoso</w:t>
            </w:r>
            <w:proofErr w:type="spellEnd"/>
          </w:p>
        </w:tc>
        <w:tc>
          <w:tcPr>
            <w:tcW w:w="1134" w:type="dxa"/>
            <w:shd w:val="clear" w:color="auto" w:fill="FFFFFF" w:themeFill="background1"/>
            <w:vAlign w:val="center"/>
            <w:hideMark/>
          </w:tcPr>
          <w:p w14:paraId="2D3A3DE9"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560" w:type="dxa"/>
            <w:shd w:val="clear" w:color="auto" w:fill="FFFFFF" w:themeFill="background1"/>
            <w:vAlign w:val="center"/>
            <w:hideMark/>
          </w:tcPr>
          <w:p w14:paraId="2E65DF8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75" w:type="dxa"/>
            <w:shd w:val="clear" w:color="auto" w:fill="FFFFFF" w:themeFill="background1"/>
            <w:vAlign w:val="center"/>
            <w:hideMark/>
          </w:tcPr>
          <w:p w14:paraId="153DD7C7"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76" w:type="dxa"/>
            <w:shd w:val="clear" w:color="auto" w:fill="FFFFFF" w:themeFill="background1"/>
            <w:vAlign w:val="center"/>
            <w:hideMark/>
          </w:tcPr>
          <w:p w14:paraId="008B9F9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76" w:type="dxa"/>
            <w:shd w:val="clear" w:color="auto" w:fill="FFFFFF" w:themeFill="background1"/>
            <w:vAlign w:val="center"/>
            <w:hideMark/>
          </w:tcPr>
          <w:p w14:paraId="0775795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40BB9A4D"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820" w:type="dxa"/>
            <w:shd w:val="clear" w:color="auto" w:fill="FFFFFF" w:themeFill="background1"/>
            <w:vAlign w:val="center"/>
            <w:hideMark/>
          </w:tcPr>
          <w:p w14:paraId="781B4FB4"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FFFFFF" w:themeFill="background1"/>
            <w:vAlign w:val="center"/>
            <w:hideMark/>
          </w:tcPr>
          <w:p w14:paraId="4ACD98BD"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807" w:type="dxa"/>
            <w:shd w:val="clear" w:color="auto" w:fill="FFFFFF" w:themeFill="background1"/>
            <w:vAlign w:val="center"/>
            <w:hideMark/>
          </w:tcPr>
          <w:p w14:paraId="4C69575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546145" w:rsidRPr="00296E53" w14:paraId="186DFA12" w14:textId="77777777" w:rsidTr="00EE79D4">
        <w:trPr>
          <w:trHeight w:val="20"/>
        </w:trPr>
        <w:tc>
          <w:tcPr>
            <w:tcW w:w="1083" w:type="dxa"/>
            <w:shd w:val="clear" w:color="auto" w:fill="FFFFFF" w:themeFill="background1"/>
            <w:vAlign w:val="center"/>
            <w:hideMark/>
          </w:tcPr>
          <w:p w14:paraId="4EDE289E" w14:textId="77777777" w:rsidR="00546145" w:rsidRPr="00296E53" w:rsidRDefault="00546145" w:rsidP="00546145">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3BC90E6A"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Encuesta Nacional de Cultura Cívica</w:t>
            </w:r>
          </w:p>
        </w:tc>
        <w:tc>
          <w:tcPr>
            <w:tcW w:w="1134" w:type="dxa"/>
            <w:shd w:val="clear" w:color="auto" w:fill="FFFFFF" w:themeFill="background1"/>
            <w:vAlign w:val="center"/>
            <w:hideMark/>
          </w:tcPr>
          <w:p w14:paraId="2B3AD8A4"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560" w:type="dxa"/>
            <w:shd w:val="clear" w:color="auto" w:fill="FFFFFF" w:themeFill="background1"/>
            <w:vAlign w:val="center"/>
            <w:hideMark/>
          </w:tcPr>
          <w:p w14:paraId="0B95E725"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75" w:type="dxa"/>
            <w:shd w:val="clear" w:color="auto" w:fill="FFFFFF" w:themeFill="background1"/>
            <w:vAlign w:val="center"/>
            <w:hideMark/>
          </w:tcPr>
          <w:p w14:paraId="10D12892" w14:textId="3894369E" w:rsidR="00546145" w:rsidRPr="00296E53" w:rsidRDefault="00546145" w:rsidP="00546145">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430E305F"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76" w:type="dxa"/>
            <w:shd w:val="clear" w:color="auto" w:fill="FFFFFF" w:themeFill="background1"/>
            <w:vAlign w:val="center"/>
            <w:hideMark/>
          </w:tcPr>
          <w:p w14:paraId="1262835B"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6856018A" w14:textId="49F1C0BC" w:rsidR="00546145" w:rsidRPr="00296E53" w:rsidRDefault="00546145" w:rsidP="00546145">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4685EFE9"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155" w:type="dxa"/>
            <w:shd w:val="clear" w:color="auto" w:fill="FFFFFF" w:themeFill="background1"/>
            <w:vAlign w:val="center"/>
            <w:hideMark/>
          </w:tcPr>
          <w:p w14:paraId="1B51A340"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807" w:type="dxa"/>
            <w:shd w:val="clear" w:color="auto" w:fill="FFFFFF" w:themeFill="background1"/>
            <w:vAlign w:val="center"/>
            <w:hideMark/>
          </w:tcPr>
          <w:p w14:paraId="25F08D6B" w14:textId="77777777" w:rsidR="00546145" w:rsidRPr="00296E53" w:rsidRDefault="00546145" w:rsidP="00546145">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r>
      <w:tr w:rsidR="00EE79D4" w:rsidRPr="00296E53" w14:paraId="16AE4D37" w14:textId="77777777" w:rsidTr="00EE79D4">
        <w:trPr>
          <w:trHeight w:val="20"/>
        </w:trPr>
        <w:tc>
          <w:tcPr>
            <w:tcW w:w="1083" w:type="dxa"/>
            <w:shd w:val="clear" w:color="auto" w:fill="C5EAFF"/>
            <w:vAlign w:val="center"/>
            <w:hideMark/>
          </w:tcPr>
          <w:p w14:paraId="4E1F40DB"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2007F3DE"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de Población y Vivienda</w:t>
            </w:r>
          </w:p>
        </w:tc>
        <w:tc>
          <w:tcPr>
            <w:tcW w:w="1134" w:type="dxa"/>
            <w:shd w:val="clear" w:color="auto" w:fill="C5EAFF"/>
            <w:vAlign w:val="center"/>
            <w:hideMark/>
          </w:tcPr>
          <w:p w14:paraId="6C234B1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21056B9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67FDEBA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1346576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0C9426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2A9B571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2467F9D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43E7D48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2FD1978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EDC5D5B" w14:textId="77777777" w:rsidTr="00EE79D4">
        <w:trPr>
          <w:trHeight w:val="20"/>
        </w:trPr>
        <w:tc>
          <w:tcPr>
            <w:tcW w:w="1083" w:type="dxa"/>
            <w:shd w:val="clear" w:color="auto" w:fill="C5EAFF"/>
            <w:vAlign w:val="center"/>
            <w:hideMark/>
          </w:tcPr>
          <w:p w14:paraId="37D4FB8A"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00C2BEB2"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de Evaluación Cognitiva para la ENASEM</w:t>
            </w:r>
          </w:p>
        </w:tc>
        <w:tc>
          <w:tcPr>
            <w:tcW w:w="1134" w:type="dxa"/>
            <w:shd w:val="clear" w:color="auto" w:fill="C5EAFF"/>
            <w:vAlign w:val="center"/>
            <w:hideMark/>
          </w:tcPr>
          <w:p w14:paraId="4A1A52C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6EE7A61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47DCA6D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6F8523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2F766A29"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6CD375A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0755111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C5EAFF"/>
            <w:vAlign w:val="center"/>
            <w:hideMark/>
          </w:tcPr>
          <w:p w14:paraId="657E34D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35BD010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552B294" w14:textId="77777777" w:rsidTr="00EE79D4">
        <w:trPr>
          <w:trHeight w:val="20"/>
        </w:trPr>
        <w:tc>
          <w:tcPr>
            <w:tcW w:w="1083" w:type="dxa"/>
            <w:shd w:val="clear" w:color="auto" w:fill="C5EAFF"/>
            <w:vAlign w:val="center"/>
            <w:hideMark/>
          </w:tcPr>
          <w:p w14:paraId="56F6254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3C01F27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Empleo y Seguridad Social</w:t>
            </w:r>
          </w:p>
        </w:tc>
        <w:tc>
          <w:tcPr>
            <w:tcW w:w="1134" w:type="dxa"/>
            <w:shd w:val="clear" w:color="auto" w:fill="C5EAFF"/>
            <w:vAlign w:val="center"/>
            <w:hideMark/>
          </w:tcPr>
          <w:p w14:paraId="31C04E0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97E00E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31F4F3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D3FE2A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36E63885"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39130DB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2B0250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12C493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1A4F0A8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FF2142E" w14:textId="77777777" w:rsidTr="00EE79D4">
        <w:trPr>
          <w:trHeight w:val="20"/>
        </w:trPr>
        <w:tc>
          <w:tcPr>
            <w:tcW w:w="1083" w:type="dxa"/>
            <w:shd w:val="clear" w:color="auto" w:fill="FFFFFF" w:themeFill="background1"/>
            <w:vAlign w:val="center"/>
            <w:hideMark/>
          </w:tcPr>
          <w:p w14:paraId="3099CF0D"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17A90628"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Ingresos y Gastos de los Hogares</w:t>
            </w:r>
          </w:p>
        </w:tc>
        <w:tc>
          <w:tcPr>
            <w:tcW w:w="1134" w:type="dxa"/>
            <w:shd w:val="clear" w:color="auto" w:fill="FFFFFF" w:themeFill="background1"/>
            <w:vAlign w:val="center"/>
            <w:hideMark/>
          </w:tcPr>
          <w:p w14:paraId="4A5DFD9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12D6EB5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5A0E4B4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169EBB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07854D1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1FEB0B0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713C53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6C80CFF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4B788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F21E247" w14:textId="77777777" w:rsidTr="00EE79D4">
        <w:trPr>
          <w:trHeight w:val="20"/>
        </w:trPr>
        <w:tc>
          <w:tcPr>
            <w:tcW w:w="1083" w:type="dxa"/>
            <w:shd w:val="clear" w:color="auto" w:fill="FFFFFF" w:themeFill="background1"/>
            <w:vAlign w:val="center"/>
            <w:hideMark/>
          </w:tcPr>
          <w:p w14:paraId="74FCECE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2618F246"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Ingresos y Gastos de los Hogares</w:t>
            </w:r>
            <w:r w:rsidRPr="00296E53">
              <w:rPr>
                <w:rFonts w:ascii="Century Gothic" w:eastAsia="Times New Roman" w:hAnsi="Century Gothic" w:cs="Arial"/>
                <w:color w:val="000000"/>
                <w:sz w:val="17"/>
                <w:szCs w:val="17"/>
                <w:u w:val="single"/>
              </w:rPr>
              <w:t xml:space="preserve"> Anual</w:t>
            </w:r>
          </w:p>
        </w:tc>
        <w:tc>
          <w:tcPr>
            <w:tcW w:w="1134" w:type="dxa"/>
            <w:shd w:val="clear" w:color="auto" w:fill="FFFFFF" w:themeFill="background1"/>
            <w:vAlign w:val="center"/>
            <w:hideMark/>
          </w:tcPr>
          <w:p w14:paraId="26131C4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462FC5A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31BD671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4A27A5C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E0FC2B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6DAEF21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6B8AABA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41E9232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7F578A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17D762F" w14:textId="77777777" w:rsidTr="00EE79D4">
        <w:trPr>
          <w:trHeight w:val="20"/>
        </w:trPr>
        <w:tc>
          <w:tcPr>
            <w:tcW w:w="1083" w:type="dxa"/>
            <w:shd w:val="clear" w:color="auto" w:fill="FFFFFF" w:themeFill="background1"/>
            <w:vAlign w:val="center"/>
            <w:hideMark/>
          </w:tcPr>
          <w:p w14:paraId="21F2883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705FCE29"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Inserción Laboral de Egresados de la Educación Media Superior</w:t>
            </w:r>
          </w:p>
        </w:tc>
        <w:tc>
          <w:tcPr>
            <w:tcW w:w="1134" w:type="dxa"/>
            <w:shd w:val="clear" w:color="auto" w:fill="FFFFFF" w:themeFill="background1"/>
            <w:vAlign w:val="center"/>
            <w:hideMark/>
          </w:tcPr>
          <w:p w14:paraId="2674FF9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17E381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239D9D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5065E14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6F80E730"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3F3220B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011CCA5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488B539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24133F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A0E6EE3" w14:textId="77777777" w:rsidTr="00EE79D4">
        <w:trPr>
          <w:trHeight w:val="20"/>
        </w:trPr>
        <w:tc>
          <w:tcPr>
            <w:tcW w:w="1083" w:type="dxa"/>
            <w:shd w:val="clear" w:color="auto" w:fill="C5EAFF"/>
            <w:vAlign w:val="center"/>
            <w:hideMark/>
          </w:tcPr>
          <w:p w14:paraId="152BA95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470D28C8"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la Dinámica Demográfica</w:t>
            </w:r>
          </w:p>
        </w:tc>
        <w:tc>
          <w:tcPr>
            <w:tcW w:w="1134" w:type="dxa"/>
            <w:shd w:val="clear" w:color="auto" w:fill="C5EAFF"/>
            <w:vAlign w:val="center"/>
            <w:hideMark/>
          </w:tcPr>
          <w:p w14:paraId="5EE24BE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2A86050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727BB4E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ED8208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14653C8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0ACEE9B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3EE81A6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694A63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65C5A31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EB9F393" w14:textId="77777777" w:rsidTr="00EE79D4">
        <w:trPr>
          <w:trHeight w:val="20"/>
        </w:trPr>
        <w:tc>
          <w:tcPr>
            <w:tcW w:w="1083" w:type="dxa"/>
            <w:shd w:val="clear" w:color="auto" w:fill="C5EAFF"/>
            <w:vAlign w:val="center"/>
            <w:hideMark/>
          </w:tcPr>
          <w:p w14:paraId="46C0E9E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71D960C2"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Ocupación y Empleo</w:t>
            </w:r>
          </w:p>
        </w:tc>
        <w:tc>
          <w:tcPr>
            <w:tcW w:w="1134" w:type="dxa"/>
            <w:shd w:val="clear" w:color="auto" w:fill="C5EAFF"/>
            <w:vAlign w:val="center"/>
            <w:hideMark/>
          </w:tcPr>
          <w:p w14:paraId="3B61F4A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7F28B9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6EE22E8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761F782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3051A0A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468BEAF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00C22BE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341BD1E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2A515F1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7B0706A" w14:textId="77777777" w:rsidTr="00EE79D4">
        <w:trPr>
          <w:trHeight w:val="20"/>
        </w:trPr>
        <w:tc>
          <w:tcPr>
            <w:tcW w:w="1083" w:type="dxa"/>
            <w:shd w:val="clear" w:color="auto" w:fill="C5EAFF"/>
            <w:vAlign w:val="center"/>
            <w:hideMark/>
          </w:tcPr>
          <w:p w14:paraId="0EC2140D"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4687F70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 xml:space="preserve">Encuesta Nacional de Trabajo Infantil </w:t>
            </w:r>
          </w:p>
        </w:tc>
        <w:tc>
          <w:tcPr>
            <w:tcW w:w="1134" w:type="dxa"/>
            <w:shd w:val="clear" w:color="auto" w:fill="C5EAFF"/>
            <w:vAlign w:val="center"/>
            <w:hideMark/>
          </w:tcPr>
          <w:p w14:paraId="691D72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29AC062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4773F16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46021A2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59B2E49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93" w:type="dxa"/>
            <w:shd w:val="clear" w:color="auto" w:fill="C5EAFF"/>
            <w:vAlign w:val="center"/>
            <w:hideMark/>
          </w:tcPr>
          <w:p w14:paraId="3EF7A60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3DA9577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C5EAFF"/>
            <w:vAlign w:val="center"/>
            <w:hideMark/>
          </w:tcPr>
          <w:p w14:paraId="248CA8C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43329C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BF08778" w14:textId="77777777" w:rsidTr="00EE79D4">
        <w:trPr>
          <w:trHeight w:val="20"/>
        </w:trPr>
        <w:tc>
          <w:tcPr>
            <w:tcW w:w="1083" w:type="dxa"/>
            <w:shd w:val="clear" w:color="auto" w:fill="FFFFFF" w:themeFill="background1"/>
            <w:vAlign w:val="center"/>
            <w:hideMark/>
          </w:tcPr>
          <w:p w14:paraId="16D53966"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0D07BBF3"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Encuesta</w:t>
            </w:r>
            <w:proofErr w:type="spellEnd"/>
            <w:r w:rsidRPr="00296E53">
              <w:rPr>
                <w:rFonts w:ascii="Century Gothic" w:eastAsia="Times New Roman" w:hAnsi="Century Gothic" w:cs="Arial"/>
                <w:color w:val="000000"/>
                <w:sz w:val="17"/>
                <w:szCs w:val="17"/>
                <w:lang w:val="en-US"/>
              </w:rPr>
              <w:t xml:space="preserve"> Nacional de Vivienda</w:t>
            </w:r>
          </w:p>
        </w:tc>
        <w:tc>
          <w:tcPr>
            <w:tcW w:w="1134" w:type="dxa"/>
            <w:shd w:val="clear" w:color="auto" w:fill="FFFFFF" w:themeFill="background1"/>
            <w:vAlign w:val="center"/>
            <w:hideMark/>
          </w:tcPr>
          <w:p w14:paraId="7CC20E1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3BA3D77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78D7F7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A5EE7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15D183E9"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21BE340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18DD99E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864F0D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2378CA2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798AB45" w14:textId="77777777" w:rsidTr="00EE79D4">
        <w:trPr>
          <w:trHeight w:val="20"/>
        </w:trPr>
        <w:tc>
          <w:tcPr>
            <w:tcW w:w="1083" w:type="dxa"/>
            <w:shd w:val="clear" w:color="auto" w:fill="FFFFFF" w:themeFill="background1"/>
            <w:vAlign w:val="center"/>
            <w:hideMark/>
          </w:tcPr>
          <w:p w14:paraId="0589FB1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19732609"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Confianza del Consumidor</w:t>
            </w:r>
          </w:p>
        </w:tc>
        <w:tc>
          <w:tcPr>
            <w:tcW w:w="1134" w:type="dxa"/>
            <w:shd w:val="clear" w:color="auto" w:fill="FFFFFF" w:themeFill="background1"/>
            <w:vAlign w:val="center"/>
            <w:hideMark/>
          </w:tcPr>
          <w:p w14:paraId="7186D7F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D1847D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078901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E1D01B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9D706DF"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392F607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995A68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D2354D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3F7A08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686D379" w14:textId="77777777" w:rsidTr="00EE79D4">
        <w:trPr>
          <w:trHeight w:val="20"/>
        </w:trPr>
        <w:tc>
          <w:tcPr>
            <w:tcW w:w="1083" w:type="dxa"/>
            <w:shd w:val="clear" w:color="auto" w:fill="FFFFFF" w:themeFill="background1"/>
            <w:vAlign w:val="center"/>
            <w:hideMark/>
          </w:tcPr>
          <w:p w14:paraId="46EF58BF"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672C79B1"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Consumo de Energéticos en Viviendas Particulares</w:t>
            </w:r>
          </w:p>
        </w:tc>
        <w:tc>
          <w:tcPr>
            <w:tcW w:w="1134" w:type="dxa"/>
            <w:shd w:val="clear" w:color="auto" w:fill="FFFFFF" w:themeFill="background1"/>
            <w:vAlign w:val="center"/>
            <w:hideMark/>
          </w:tcPr>
          <w:p w14:paraId="3045612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0AC030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1FE28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5E6A25D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939C800"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28BA724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13BE01A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7B53306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417592A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E86CADE" w14:textId="77777777" w:rsidTr="00EE79D4">
        <w:trPr>
          <w:trHeight w:val="20"/>
        </w:trPr>
        <w:tc>
          <w:tcPr>
            <w:tcW w:w="1083" w:type="dxa"/>
            <w:shd w:val="clear" w:color="auto" w:fill="C5EAFF"/>
            <w:vAlign w:val="center"/>
            <w:hideMark/>
          </w:tcPr>
          <w:p w14:paraId="0D6BB08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775F461D"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Diversidad Sexual y de Género</w:t>
            </w:r>
          </w:p>
        </w:tc>
        <w:tc>
          <w:tcPr>
            <w:tcW w:w="1134" w:type="dxa"/>
            <w:shd w:val="clear" w:color="auto" w:fill="C5EAFF"/>
            <w:vAlign w:val="center"/>
            <w:hideMark/>
          </w:tcPr>
          <w:p w14:paraId="1D11AD0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4A281EB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002E3FC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9514FB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F6D0A70"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6536277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699416E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C5EAFF"/>
            <w:vAlign w:val="center"/>
            <w:hideMark/>
          </w:tcPr>
          <w:p w14:paraId="7140171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42C22EB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F78227B" w14:textId="77777777" w:rsidTr="00EE79D4">
        <w:trPr>
          <w:trHeight w:val="20"/>
        </w:trPr>
        <w:tc>
          <w:tcPr>
            <w:tcW w:w="1083" w:type="dxa"/>
            <w:shd w:val="clear" w:color="auto" w:fill="C5EAFF"/>
            <w:vAlign w:val="center"/>
            <w:hideMark/>
          </w:tcPr>
          <w:p w14:paraId="04217CD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13BE336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Salud y Envejecimiento en México</w:t>
            </w:r>
          </w:p>
        </w:tc>
        <w:tc>
          <w:tcPr>
            <w:tcW w:w="1134" w:type="dxa"/>
            <w:shd w:val="clear" w:color="auto" w:fill="C5EAFF"/>
            <w:vAlign w:val="center"/>
            <w:hideMark/>
          </w:tcPr>
          <w:p w14:paraId="02C7736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8A20C1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3BB746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11EFD5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CE8D52F"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2B472DD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64B748B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666CA8D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7196564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43C99C5" w14:textId="77777777" w:rsidTr="00EE79D4">
        <w:trPr>
          <w:trHeight w:val="20"/>
        </w:trPr>
        <w:tc>
          <w:tcPr>
            <w:tcW w:w="1083" w:type="dxa"/>
            <w:shd w:val="clear" w:color="auto" w:fill="C5EAFF"/>
            <w:vAlign w:val="center"/>
            <w:hideMark/>
          </w:tcPr>
          <w:p w14:paraId="2ECF8FF1"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6BD1E06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Uso del Tiempo</w:t>
            </w:r>
          </w:p>
        </w:tc>
        <w:tc>
          <w:tcPr>
            <w:tcW w:w="1134" w:type="dxa"/>
            <w:shd w:val="clear" w:color="auto" w:fill="C5EAFF"/>
            <w:vAlign w:val="center"/>
            <w:hideMark/>
          </w:tcPr>
          <w:p w14:paraId="6D9B813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01B8660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1A2E248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73C4C0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5F3D721F"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534FF77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3DD6434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5FE02F4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3683400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FC77C9A" w14:textId="77777777" w:rsidTr="00EE79D4">
        <w:trPr>
          <w:trHeight w:val="20"/>
        </w:trPr>
        <w:tc>
          <w:tcPr>
            <w:tcW w:w="1083" w:type="dxa"/>
            <w:shd w:val="clear" w:color="auto" w:fill="FFFFFF" w:themeFill="background1"/>
            <w:vAlign w:val="center"/>
            <w:hideMark/>
          </w:tcPr>
          <w:p w14:paraId="03E4081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5E180970"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 xml:space="preserve">Encuesta sobre las Finanzas en los Hogares </w:t>
            </w:r>
          </w:p>
        </w:tc>
        <w:tc>
          <w:tcPr>
            <w:tcW w:w="1134" w:type="dxa"/>
            <w:shd w:val="clear" w:color="auto" w:fill="FFFFFF" w:themeFill="background1"/>
            <w:vAlign w:val="center"/>
            <w:hideMark/>
          </w:tcPr>
          <w:p w14:paraId="5B2F03C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35B0A6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5501F1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46A055A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1003CF07"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7D29F8B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E374EA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3AD17CA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11A771D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C124FE4" w14:textId="77777777" w:rsidTr="00EE79D4">
        <w:trPr>
          <w:trHeight w:val="20"/>
        </w:trPr>
        <w:tc>
          <w:tcPr>
            <w:tcW w:w="1083" w:type="dxa"/>
            <w:shd w:val="clear" w:color="auto" w:fill="FFFFFF" w:themeFill="background1"/>
            <w:vAlign w:val="center"/>
            <w:hideMark/>
          </w:tcPr>
          <w:p w14:paraId="030419EF"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4F638E36"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Módulo de Eventos Culturales Seleccionados</w:t>
            </w:r>
          </w:p>
        </w:tc>
        <w:tc>
          <w:tcPr>
            <w:tcW w:w="1134" w:type="dxa"/>
            <w:shd w:val="clear" w:color="auto" w:fill="FFFFFF" w:themeFill="background1"/>
            <w:vAlign w:val="center"/>
            <w:hideMark/>
          </w:tcPr>
          <w:p w14:paraId="395383C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3F3A28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44AE7C6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4E6EB6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59E0ED62"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24FFC04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027FA74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7640251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15DB608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DCE3E86" w14:textId="77777777" w:rsidTr="00EE79D4">
        <w:trPr>
          <w:trHeight w:val="20"/>
        </w:trPr>
        <w:tc>
          <w:tcPr>
            <w:tcW w:w="1083" w:type="dxa"/>
            <w:shd w:val="clear" w:color="auto" w:fill="FFFFFF" w:themeFill="background1"/>
            <w:vAlign w:val="center"/>
            <w:hideMark/>
          </w:tcPr>
          <w:p w14:paraId="058FB08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7474D913"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Módulo</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Lectura</w:t>
            </w:r>
            <w:proofErr w:type="spellEnd"/>
          </w:p>
        </w:tc>
        <w:tc>
          <w:tcPr>
            <w:tcW w:w="1134" w:type="dxa"/>
            <w:shd w:val="clear" w:color="auto" w:fill="FFFFFF" w:themeFill="background1"/>
            <w:vAlign w:val="center"/>
            <w:hideMark/>
          </w:tcPr>
          <w:p w14:paraId="41B8B58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6618A6D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5AC4E1F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E1E91F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05D339AE"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1358867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62BCDF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198A2A5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6486433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265FAF6" w14:textId="77777777" w:rsidTr="00EE79D4">
        <w:trPr>
          <w:trHeight w:val="20"/>
        </w:trPr>
        <w:tc>
          <w:tcPr>
            <w:tcW w:w="1083" w:type="dxa"/>
            <w:shd w:val="clear" w:color="auto" w:fill="C5EAFF"/>
            <w:vAlign w:val="center"/>
            <w:hideMark/>
          </w:tcPr>
          <w:p w14:paraId="3C415978"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321232AD"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Módulo de Práctica Deportiva y Ejercicio Físico</w:t>
            </w:r>
          </w:p>
        </w:tc>
        <w:tc>
          <w:tcPr>
            <w:tcW w:w="1134" w:type="dxa"/>
            <w:shd w:val="clear" w:color="auto" w:fill="C5EAFF"/>
            <w:vAlign w:val="center"/>
            <w:hideMark/>
          </w:tcPr>
          <w:p w14:paraId="7F2EE7C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457E510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19F63E2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16BB06C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FFFEB5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37F53E4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56630E6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312D1CE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2ABA915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1725E6E" w14:textId="77777777" w:rsidTr="00EE79D4">
        <w:trPr>
          <w:trHeight w:val="20"/>
        </w:trPr>
        <w:tc>
          <w:tcPr>
            <w:tcW w:w="1083" w:type="dxa"/>
            <w:shd w:val="clear" w:color="auto" w:fill="C5EAFF"/>
            <w:vAlign w:val="center"/>
            <w:hideMark/>
          </w:tcPr>
          <w:p w14:paraId="2D599918"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6152EC82"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Estimación de características sociodemográficas en Áreas Pequeñas</w:t>
            </w:r>
          </w:p>
        </w:tc>
        <w:tc>
          <w:tcPr>
            <w:tcW w:w="1134" w:type="dxa"/>
            <w:shd w:val="clear" w:color="auto" w:fill="C5EAFF"/>
            <w:vAlign w:val="center"/>
            <w:hideMark/>
          </w:tcPr>
          <w:p w14:paraId="4548194F"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79FFBC9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62F40031" w14:textId="28B9F47A" w:rsidR="00F34563" w:rsidRPr="00296E53" w:rsidRDefault="00EB32B0"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X</w:t>
            </w:r>
            <w:r w:rsidR="00F34563" w:rsidRPr="00296E53">
              <w:rPr>
                <w:rFonts w:ascii="Century Gothic" w:eastAsia="Times New Roman" w:hAnsi="Century Gothic" w:cs="Arial"/>
                <w:b/>
                <w:bCs/>
                <w:sz w:val="17"/>
                <w:szCs w:val="17"/>
              </w:rPr>
              <w:t> </w:t>
            </w:r>
          </w:p>
        </w:tc>
        <w:tc>
          <w:tcPr>
            <w:tcW w:w="1276" w:type="dxa"/>
            <w:shd w:val="clear" w:color="auto" w:fill="C5EAFF"/>
            <w:vAlign w:val="center"/>
            <w:hideMark/>
          </w:tcPr>
          <w:p w14:paraId="45B84F50"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4AC77F09"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C5EAFF"/>
            <w:vAlign w:val="center"/>
            <w:hideMark/>
          </w:tcPr>
          <w:p w14:paraId="62616757"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C5EAFF"/>
            <w:vAlign w:val="center"/>
            <w:hideMark/>
          </w:tcPr>
          <w:p w14:paraId="4DC6641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155" w:type="dxa"/>
            <w:shd w:val="clear" w:color="auto" w:fill="C5EAFF"/>
            <w:vAlign w:val="center"/>
            <w:hideMark/>
          </w:tcPr>
          <w:p w14:paraId="4EFAF7B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07" w:type="dxa"/>
            <w:shd w:val="clear" w:color="auto" w:fill="C5EAFF"/>
            <w:vAlign w:val="center"/>
            <w:hideMark/>
          </w:tcPr>
          <w:p w14:paraId="0CFDD8C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r>
      <w:tr w:rsidR="00EE79D4" w:rsidRPr="00296E53" w14:paraId="35196DA2" w14:textId="77777777" w:rsidTr="00EE79D4">
        <w:trPr>
          <w:trHeight w:val="20"/>
        </w:trPr>
        <w:tc>
          <w:tcPr>
            <w:tcW w:w="1083" w:type="dxa"/>
            <w:shd w:val="clear" w:color="auto" w:fill="C5EAFF"/>
            <w:vAlign w:val="center"/>
            <w:hideMark/>
          </w:tcPr>
          <w:p w14:paraId="1B9D5969"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7E7BD481"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 xml:space="preserve">Marco Maestro de </w:t>
            </w:r>
            <w:proofErr w:type="spellStart"/>
            <w:r w:rsidRPr="00296E53">
              <w:rPr>
                <w:rFonts w:ascii="Century Gothic" w:eastAsia="Times New Roman" w:hAnsi="Century Gothic" w:cs="Arial"/>
                <w:color w:val="000000"/>
                <w:sz w:val="17"/>
                <w:szCs w:val="17"/>
                <w:lang w:val="en-US"/>
              </w:rPr>
              <w:t>Muestreo</w:t>
            </w:r>
            <w:proofErr w:type="spellEnd"/>
            <w:r w:rsidRPr="00296E53">
              <w:rPr>
                <w:rFonts w:ascii="Century Gothic" w:eastAsia="Times New Roman" w:hAnsi="Century Gothic" w:cs="Arial"/>
                <w:color w:val="000000"/>
                <w:sz w:val="17"/>
                <w:szCs w:val="17"/>
                <w:lang w:val="en-US"/>
              </w:rPr>
              <w:t xml:space="preserve"> </w:t>
            </w:r>
          </w:p>
        </w:tc>
        <w:tc>
          <w:tcPr>
            <w:tcW w:w="1134" w:type="dxa"/>
            <w:shd w:val="clear" w:color="auto" w:fill="C5EAFF"/>
            <w:vAlign w:val="center"/>
            <w:hideMark/>
          </w:tcPr>
          <w:p w14:paraId="6F94498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26D53DB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5DADA3E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697653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B74DD80"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4D62668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5304C3D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C5EAFF"/>
            <w:vAlign w:val="center"/>
            <w:hideMark/>
          </w:tcPr>
          <w:p w14:paraId="78D973F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4943477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r>
      <w:tr w:rsidR="00EE79D4" w:rsidRPr="00296E53" w14:paraId="3C2AC4DA" w14:textId="77777777" w:rsidTr="00EE79D4">
        <w:trPr>
          <w:trHeight w:val="20"/>
        </w:trPr>
        <w:tc>
          <w:tcPr>
            <w:tcW w:w="1083" w:type="dxa"/>
            <w:shd w:val="clear" w:color="auto" w:fill="FFFFFF" w:themeFill="background1"/>
            <w:vAlign w:val="center"/>
            <w:hideMark/>
          </w:tcPr>
          <w:p w14:paraId="2B8FABA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41BA0528"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Estadística</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defunciones</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fetales</w:t>
            </w:r>
            <w:proofErr w:type="spellEnd"/>
          </w:p>
        </w:tc>
        <w:tc>
          <w:tcPr>
            <w:tcW w:w="1134" w:type="dxa"/>
            <w:shd w:val="clear" w:color="auto" w:fill="FFFFFF" w:themeFill="background1"/>
            <w:vAlign w:val="center"/>
            <w:hideMark/>
          </w:tcPr>
          <w:p w14:paraId="1864AC4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FFFFFF" w:themeFill="background1"/>
            <w:vAlign w:val="center"/>
            <w:hideMark/>
          </w:tcPr>
          <w:p w14:paraId="69328E2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5383CD3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0263FA5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50889D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2414B74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9C91F8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43CC337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BE06FB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r>
      <w:tr w:rsidR="00EE79D4" w:rsidRPr="00296E53" w14:paraId="39103394" w14:textId="77777777" w:rsidTr="00EE79D4">
        <w:trPr>
          <w:trHeight w:val="20"/>
        </w:trPr>
        <w:tc>
          <w:tcPr>
            <w:tcW w:w="1083" w:type="dxa"/>
            <w:shd w:val="clear" w:color="auto" w:fill="FFFFFF" w:themeFill="background1"/>
            <w:vAlign w:val="center"/>
            <w:hideMark/>
          </w:tcPr>
          <w:p w14:paraId="4FCEC55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4A74CABB"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Estadística</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Defunciones</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Registradas</w:t>
            </w:r>
            <w:proofErr w:type="spellEnd"/>
          </w:p>
        </w:tc>
        <w:tc>
          <w:tcPr>
            <w:tcW w:w="1134" w:type="dxa"/>
            <w:shd w:val="clear" w:color="auto" w:fill="FFFFFF" w:themeFill="background1"/>
            <w:vAlign w:val="center"/>
            <w:hideMark/>
          </w:tcPr>
          <w:p w14:paraId="7D92500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FFFFFF" w:themeFill="background1"/>
            <w:vAlign w:val="center"/>
            <w:hideMark/>
          </w:tcPr>
          <w:p w14:paraId="7114420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3135F69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E40BB1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1455635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2AD0539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52301E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7B0BAF2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A4CA2D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3FF8444" w14:textId="77777777" w:rsidTr="00EE79D4">
        <w:trPr>
          <w:trHeight w:val="20"/>
        </w:trPr>
        <w:tc>
          <w:tcPr>
            <w:tcW w:w="1083" w:type="dxa"/>
            <w:shd w:val="clear" w:color="auto" w:fill="FFFFFF" w:themeFill="background1"/>
            <w:vAlign w:val="center"/>
            <w:hideMark/>
          </w:tcPr>
          <w:p w14:paraId="3D9778F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7707E75A"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Estadística</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Divorcios</w:t>
            </w:r>
            <w:proofErr w:type="spellEnd"/>
          </w:p>
        </w:tc>
        <w:tc>
          <w:tcPr>
            <w:tcW w:w="1134" w:type="dxa"/>
            <w:shd w:val="clear" w:color="auto" w:fill="FFFFFF" w:themeFill="background1"/>
            <w:vAlign w:val="center"/>
            <w:hideMark/>
          </w:tcPr>
          <w:p w14:paraId="0543692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FFFFFF" w:themeFill="background1"/>
            <w:vAlign w:val="center"/>
            <w:hideMark/>
          </w:tcPr>
          <w:p w14:paraId="0626920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0BCF69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3C4D468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B97F8BE"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102E7E5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2B1D06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5A9508D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280D88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r>
      <w:tr w:rsidR="00EE79D4" w:rsidRPr="00296E53" w14:paraId="4C859150" w14:textId="77777777" w:rsidTr="00EE79D4">
        <w:trPr>
          <w:trHeight w:val="20"/>
        </w:trPr>
        <w:tc>
          <w:tcPr>
            <w:tcW w:w="1083" w:type="dxa"/>
            <w:shd w:val="clear" w:color="auto" w:fill="C5EAFF"/>
            <w:vAlign w:val="center"/>
            <w:hideMark/>
          </w:tcPr>
          <w:p w14:paraId="3C81FAA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617972E4"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Estadística</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Matrimonios</w:t>
            </w:r>
            <w:proofErr w:type="spellEnd"/>
          </w:p>
        </w:tc>
        <w:tc>
          <w:tcPr>
            <w:tcW w:w="1134" w:type="dxa"/>
            <w:shd w:val="clear" w:color="auto" w:fill="C5EAFF"/>
            <w:vAlign w:val="center"/>
            <w:hideMark/>
          </w:tcPr>
          <w:p w14:paraId="0B3984B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C5EAFF"/>
            <w:vAlign w:val="center"/>
            <w:hideMark/>
          </w:tcPr>
          <w:p w14:paraId="38A481C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1A134BF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157188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3555CBCA"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3777D3E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0B0854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599407B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1EF8DEB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46A7424" w14:textId="77777777" w:rsidTr="00EE79D4">
        <w:trPr>
          <w:trHeight w:val="20"/>
        </w:trPr>
        <w:tc>
          <w:tcPr>
            <w:tcW w:w="1083" w:type="dxa"/>
            <w:shd w:val="clear" w:color="auto" w:fill="C5EAFF"/>
            <w:vAlign w:val="center"/>
            <w:hideMark/>
          </w:tcPr>
          <w:p w14:paraId="3B247AB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01837680"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Estadística</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Museos</w:t>
            </w:r>
            <w:proofErr w:type="spellEnd"/>
          </w:p>
        </w:tc>
        <w:tc>
          <w:tcPr>
            <w:tcW w:w="1134" w:type="dxa"/>
            <w:shd w:val="clear" w:color="auto" w:fill="C5EAFF"/>
            <w:vAlign w:val="center"/>
            <w:hideMark/>
          </w:tcPr>
          <w:p w14:paraId="2B65C7B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C5EAFF"/>
            <w:vAlign w:val="center"/>
            <w:hideMark/>
          </w:tcPr>
          <w:p w14:paraId="7AAABE2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034E806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5A0CC8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34D434F6"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4C0095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4D85DAF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232E962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4D42BD7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07E9C01" w14:textId="77777777" w:rsidTr="00EE79D4">
        <w:trPr>
          <w:trHeight w:val="20"/>
        </w:trPr>
        <w:tc>
          <w:tcPr>
            <w:tcW w:w="1083" w:type="dxa"/>
            <w:shd w:val="clear" w:color="auto" w:fill="C5EAFF"/>
            <w:vAlign w:val="center"/>
            <w:hideMark/>
          </w:tcPr>
          <w:p w14:paraId="52F6459F"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4CD9B59C"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Estadística</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Nacimientos</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Registrados</w:t>
            </w:r>
            <w:proofErr w:type="spellEnd"/>
          </w:p>
        </w:tc>
        <w:tc>
          <w:tcPr>
            <w:tcW w:w="1134" w:type="dxa"/>
            <w:shd w:val="clear" w:color="auto" w:fill="C5EAFF"/>
            <w:vAlign w:val="center"/>
            <w:hideMark/>
          </w:tcPr>
          <w:p w14:paraId="5718FB2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C5EAFF"/>
            <w:vAlign w:val="center"/>
            <w:hideMark/>
          </w:tcPr>
          <w:p w14:paraId="746742E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387EAC4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6EA3EC2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21A724CE"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243BB2E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214B070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5658AF5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234A9D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578CBE6" w14:textId="77777777" w:rsidTr="00EE79D4">
        <w:trPr>
          <w:trHeight w:val="20"/>
        </w:trPr>
        <w:tc>
          <w:tcPr>
            <w:tcW w:w="1083" w:type="dxa"/>
            <w:shd w:val="clear" w:color="auto" w:fill="FFFFFF" w:themeFill="background1"/>
            <w:vAlign w:val="center"/>
            <w:hideMark/>
          </w:tcPr>
          <w:p w14:paraId="1433955A"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19F56003"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Estadísticas de salud en establecimientos particulares</w:t>
            </w:r>
          </w:p>
        </w:tc>
        <w:tc>
          <w:tcPr>
            <w:tcW w:w="1134" w:type="dxa"/>
            <w:shd w:val="clear" w:color="auto" w:fill="FFFFFF" w:themeFill="background1"/>
            <w:vAlign w:val="center"/>
            <w:hideMark/>
          </w:tcPr>
          <w:p w14:paraId="7571088C"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0C61E6E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22E4B7F0"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3B71419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02EEEC32"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22E7EA9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361EA38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5075582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40C29FC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EFAB82F" w14:textId="77777777" w:rsidTr="00EE79D4">
        <w:trPr>
          <w:trHeight w:val="20"/>
        </w:trPr>
        <w:tc>
          <w:tcPr>
            <w:tcW w:w="1083" w:type="dxa"/>
            <w:shd w:val="clear" w:color="auto" w:fill="FFFFFF" w:themeFill="background1"/>
            <w:vAlign w:val="center"/>
            <w:hideMark/>
          </w:tcPr>
          <w:p w14:paraId="0632DCE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6851FD35"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Estadísticas sobre relaciones laborales de jurisdicción local</w:t>
            </w:r>
          </w:p>
        </w:tc>
        <w:tc>
          <w:tcPr>
            <w:tcW w:w="1134" w:type="dxa"/>
            <w:shd w:val="clear" w:color="auto" w:fill="FFFFFF" w:themeFill="background1"/>
            <w:vAlign w:val="center"/>
            <w:hideMark/>
          </w:tcPr>
          <w:p w14:paraId="2C6BD24A"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3F6F3A4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291B5DA8"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19E4C1C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77EB07FE"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0E9EA28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76CD9CE8"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155" w:type="dxa"/>
            <w:shd w:val="clear" w:color="auto" w:fill="FFFFFF" w:themeFill="background1"/>
            <w:vAlign w:val="center"/>
            <w:hideMark/>
          </w:tcPr>
          <w:p w14:paraId="4909734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A9771F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891112E" w14:textId="77777777" w:rsidTr="00EE79D4">
        <w:trPr>
          <w:trHeight w:val="20"/>
        </w:trPr>
        <w:tc>
          <w:tcPr>
            <w:tcW w:w="1083" w:type="dxa"/>
            <w:shd w:val="clear" w:color="auto" w:fill="FFFFFF" w:themeFill="background1"/>
            <w:vAlign w:val="center"/>
            <w:hideMark/>
          </w:tcPr>
          <w:p w14:paraId="2378E587"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700A28A8"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Salud y Nutrición</w:t>
            </w:r>
          </w:p>
        </w:tc>
        <w:tc>
          <w:tcPr>
            <w:tcW w:w="1134" w:type="dxa"/>
            <w:shd w:val="clear" w:color="auto" w:fill="FFFFFF" w:themeFill="background1"/>
            <w:vAlign w:val="center"/>
            <w:hideMark/>
          </w:tcPr>
          <w:p w14:paraId="50C6B33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1D5F3F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37FCF9F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F0D307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3808717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93" w:type="dxa"/>
            <w:shd w:val="clear" w:color="auto" w:fill="FFFFFF" w:themeFill="background1"/>
            <w:vAlign w:val="center"/>
            <w:hideMark/>
          </w:tcPr>
          <w:p w14:paraId="36F5930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0615971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0551D4ED"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807" w:type="dxa"/>
            <w:shd w:val="clear" w:color="auto" w:fill="FFFFFF" w:themeFill="background1"/>
            <w:vAlign w:val="center"/>
            <w:hideMark/>
          </w:tcPr>
          <w:p w14:paraId="2F6248D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49DDE03" w14:textId="77777777" w:rsidTr="00EE79D4">
        <w:trPr>
          <w:trHeight w:val="20"/>
        </w:trPr>
        <w:tc>
          <w:tcPr>
            <w:tcW w:w="1083" w:type="dxa"/>
            <w:shd w:val="clear" w:color="auto" w:fill="C5EAFF"/>
            <w:vAlign w:val="center"/>
            <w:hideMark/>
          </w:tcPr>
          <w:p w14:paraId="204D10F1"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DGGMA</w:t>
            </w:r>
          </w:p>
        </w:tc>
        <w:tc>
          <w:tcPr>
            <w:tcW w:w="2881" w:type="dxa"/>
            <w:shd w:val="clear" w:color="auto" w:fill="C5EAFF"/>
            <w:vAlign w:val="center"/>
            <w:hideMark/>
          </w:tcPr>
          <w:p w14:paraId="478FB15C"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 xml:space="preserve">Red </w:t>
            </w:r>
            <w:proofErr w:type="spellStart"/>
            <w:r w:rsidRPr="00296E53">
              <w:rPr>
                <w:rFonts w:ascii="Century Gothic" w:eastAsia="Times New Roman" w:hAnsi="Century Gothic" w:cs="Arial"/>
                <w:color w:val="000000"/>
                <w:sz w:val="17"/>
                <w:szCs w:val="17"/>
                <w:lang w:val="en-US"/>
              </w:rPr>
              <w:t>nacional</w:t>
            </w:r>
            <w:proofErr w:type="spellEnd"/>
            <w:r w:rsidRPr="00296E53">
              <w:rPr>
                <w:rFonts w:ascii="Century Gothic" w:eastAsia="Times New Roman" w:hAnsi="Century Gothic" w:cs="Arial"/>
                <w:color w:val="000000"/>
                <w:sz w:val="17"/>
                <w:szCs w:val="17"/>
                <w:lang w:val="en-US"/>
              </w:rPr>
              <w:t xml:space="preserve"> de </w:t>
            </w:r>
            <w:proofErr w:type="spellStart"/>
            <w:r w:rsidRPr="00296E53">
              <w:rPr>
                <w:rFonts w:ascii="Century Gothic" w:eastAsia="Times New Roman" w:hAnsi="Century Gothic" w:cs="Arial"/>
                <w:color w:val="000000"/>
                <w:sz w:val="17"/>
                <w:szCs w:val="17"/>
                <w:lang w:val="en-US"/>
              </w:rPr>
              <w:t>caminos</w:t>
            </w:r>
            <w:proofErr w:type="spellEnd"/>
          </w:p>
        </w:tc>
        <w:tc>
          <w:tcPr>
            <w:tcW w:w="1134" w:type="dxa"/>
            <w:shd w:val="clear" w:color="auto" w:fill="C5EAFF"/>
            <w:vAlign w:val="center"/>
            <w:hideMark/>
          </w:tcPr>
          <w:p w14:paraId="6E93FF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EAB528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4D8A250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47BADCB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66B28FFA"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6B4A63C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1FE3A49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7B2DE4B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2AACDCC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7949C8B6" w14:textId="77777777" w:rsidTr="00EE79D4">
        <w:trPr>
          <w:trHeight w:val="20"/>
        </w:trPr>
        <w:tc>
          <w:tcPr>
            <w:tcW w:w="1083" w:type="dxa"/>
            <w:shd w:val="clear" w:color="auto" w:fill="C5EAFF"/>
            <w:vAlign w:val="center"/>
            <w:hideMark/>
          </w:tcPr>
          <w:p w14:paraId="775AE344"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DGGMA</w:t>
            </w:r>
          </w:p>
        </w:tc>
        <w:tc>
          <w:tcPr>
            <w:tcW w:w="2881" w:type="dxa"/>
            <w:shd w:val="clear" w:color="auto" w:fill="C5EAFF"/>
            <w:vAlign w:val="center"/>
            <w:hideMark/>
          </w:tcPr>
          <w:p w14:paraId="74CDA129"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Hidrología</w:t>
            </w:r>
            <w:proofErr w:type="spellEnd"/>
          </w:p>
        </w:tc>
        <w:tc>
          <w:tcPr>
            <w:tcW w:w="1134" w:type="dxa"/>
            <w:shd w:val="clear" w:color="auto" w:fill="C5EAFF"/>
            <w:vAlign w:val="center"/>
            <w:hideMark/>
          </w:tcPr>
          <w:p w14:paraId="0FAC8C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C5EAFF"/>
            <w:vAlign w:val="center"/>
            <w:hideMark/>
          </w:tcPr>
          <w:p w14:paraId="699D4FD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530BDAA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8CFBDF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24B868C8"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51987A4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6197C36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1630C09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6759C0E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91CBA88" w14:textId="77777777" w:rsidTr="00EE79D4">
        <w:trPr>
          <w:trHeight w:val="20"/>
        </w:trPr>
        <w:tc>
          <w:tcPr>
            <w:tcW w:w="1083" w:type="dxa"/>
            <w:shd w:val="clear" w:color="auto" w:fill="C5EAFF"/>
            <w:vAlign w:val="center"/>
            <w:hideMark/>
          </w:tcPr>
          <w:p w14:paraId="1EA5DED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DGGMA</w:t>
            </w:r>
          </w:p>
        </w:tc>
        <w:tc>
          <w:tcPr>
            <w:tcW w:w="2881" w:type="dxa"/>
            <w:shd w:val="clear" w:color="auto" w:fill="C5EAFF"/>
            <w:vAlign w:val="center"/>
            <w:hideMark/>
          </w:tcPr>
          <w:p w14:paraId="5C618C3B"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 xml:space="preserve">Marco de </w:t>
            </w:r>
            <w:proofErr w:type="spellStart"/>
            <w:r w:rsidRPr="00296E53">
              <w:rPr>
                <w:rFonts w:ascii="Century Gothic" w:eastAsia="Times New Roman" w:hAnsi="Century Gothic" w:cs="Arial"/>
                <w:color w:val="000000"/>
                <w:sz w:val="17"/>
                <w:szCs w:val="17"/>
                <w:lang w:val="en-US"/>
              </w:rPr>
              <w:t>referencia</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geodésico</w:t>
            </w:r>
            <w:proofErr w:type="spellEnd"/>
          </w:p>
        </w:tc>
        <w:tc>
          <w:tcPr>
            <w:tcW w:w="1134" w:type="dxa"/>
            <w:shd w:val="clear" w:color="auto" w:fill="C5EAFF"/>
            <w:vAlign w:val="center"/>
            <w:hideMark/>
          </w:tcPr>
          <w:p w14:paraId="254D95E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2C7C19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2FE0B84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5B09B54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E7C8E48"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2B6B350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4ADF05D8"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68F00C4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5C14E83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370A051" w14:textId="77777777" w:rsidTr="00EE79D4">
        <w:trPr>
          <w:trHeight w:val="20"/>
        </w:trPr>
        <w:tc>
          <w:tcPr>
            <w:tcW w:w="1083" w:type="dxa"/>
            <w:shd w:val="clear" w:color="auto" w:fill="FFFFFF" w:themeFill="background1"/>
            <w:vAlign w:val="center"/>
            <w:hideMark/>
          </w:tcPr>
          <w:p w14:paraId="4E2CAA41"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DGGMA</w:t>
            </w:r>
          </w:p>
        </w:tc>
        <w:tc>
          <w:tcPr>
            <w:tcW w:w="2881" w:type="dxa"/>
            <w:shd w:val="clear" w:color="auto" w:fill="FFFFFF" w:themeFill="background1"/>
            <w:vAlign w:val="center"/>
            <w:hideMark/>
          </w:tcPr>
          <w:p w14:paraId="228C57F5"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 xml:space="preserve">Marco </w:t>
            </w:r>
            <w:proofErr w:type="spellStart"/>
            <w:r w:rsidRPr="00296E53">
              <w:rPr>
                <w:rFonts w:ascii="Century Gothic" w:eastAsia="Times New Roman" w:hAnsi="Century Gothic" w:cs="Arial"/>
                <w:color w:val="000000"/>
                <w:sz w:val="17"/>
                <w:szCs w:val="17"/>
                <w:lang w:val="en-US"/>
              </w:rPr>
              <w:t>geoestadístico</w:t>
            </w:r>
            <w:proofErr w:type="spellEnd"/>
          </w:p>
        </w:tc>
        <w:tc>
          <w:tcPr>
            <w:tcW w:w="1134" w:type="dxa"/>
            <w:shd w:val="clear" w:color="auto" w:fill="FFFFFF" w:themeFill="background1"/>
            <w:vAlign w:val="center"/>
            <w:hideMark/>
          </w:tcPr>
          <w:p w14:paraId="7D170B6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81D272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17356E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10D90EF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220050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516DBB9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79C1F51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0E4EC9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95455E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DAF02FB" w14:textId="77777777" w:rsidTr="00EE79D4">
        <w:trPr>
          <w:trHeight w:val="20"/>
        </w:trPr>
        <w:tc>
          <w:tcPr>
            <w:tcW w:w="1083" w:type="dxa"/>
            <w:shd w:val="clear" w:color="auto" w:fill="FFFFFF" w:themeFill="background1"/>
            <w:vAlign w:val="center"/>
            <w:hideMark/>
          </w:tcPr>
          <w:p w14:paraId="12C300A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DGGMA</w:t>
            </w:r>
          </w:p>
        </w:tc>
        <w:tc>
          <w:tcPr>
            <w:tcW w:w="2881" w:type="dxa"/>
            <w:shd w:val="clear" w:color="auto" w:fill="FFFFFF" w:themeFill="background1"/>
            <w:vAlign w:val="center"/>
            <w:hideMark/>
          </w:tcPr>
          <w:p w14:paraId="5DFC7CC7"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Topografía</w:t>
            </w:r>
            <w:proofErr w:type="spellEnd"/>
          </w:p>
        </w:tc>
        <w:tc>
          <w:tcPr>
            <w:tcW w:w="1134" w:type="dxa"/>
            <w:shd w:val="clear" w:color="auto" w:fill="FFFFFF" w:themeFill="background1"/>
            <w:vAlign w:val="center"/>
            <w:hideMark/>
          </w:tcPr>
          <w:p w14:paraId="3A4BB90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0606407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38E4304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51C26B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40568E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1E95875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976A56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7B4E14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4133076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ED814BA" w14:textId="77777777" w:rsidTr="00EE79D4">
        <w:trPr>
          <w:trHeight w:val="20"/>
        </w:trPr>
        <w:tc>
          <w:tcPr>
            <w:tcW w:w="1083" w:type="dxa"/>
            <w:shd w:val="clear" w:color="auto" w:fill="FFFFFF" w:themeFill="background1"/>
            <w:vAlign w:val="center"/>
            <w:hideMark/>
          </w:tcPr>
          <w:p w14:paraId="1E1242D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DGGMA</w:t>
            </w:r>
          </w:p>
        </w:tc>
        <w:tc>
          <w:tcPr>
            <w:tcW w:w="2881" w:type="dxa"/>
            <w:shd w:val="clear" w:color="auto" w:fill="FFFFFF" w:themeFill="background1"/>
            <w:vAlign w:val="center"/>
            <w:hideMark/>
          </w:tcPr>
          <w:p w14:paraId="3D9BA613"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Uso de suelo y vegetación</w:t>
            </w:r>
          </w:p>
        </w:tc>
        <w:tc>
          <w:tcPr>
            <w:tcW w:w="1134" w:type="dxa"/>
            <w:shd w:val="clear" w:color="auto" w:fill="FFFFFF" w:themeFill="background1"/>
            <w:vAlign w:val="center"/>
            <w:hideMark/>
          </w:tcPr>
          <w:p w14:paraId="173EEA91"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63B970F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5C2FF86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3759F34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10D7569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3021D09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C4C4D1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635EDC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4DEED7C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7A1422B" w14:textId="77777777" w:rsidTr="00EE79D4">
        <w:trPr>
          <w:trHeight w:val="20"/>
        </w:trPr>
        <w:tc>
          <w:tcPr>
            <w:tcW w:w="1083" w:type="dxa"/>
            <w:shd w:val="clear" w:color="auto" w:fill="C5EAFF"/>
            <w:vAlign w:val="center"/>
            <w:hideMark/>
          </w:tcPr>
          <w:p w14:paraId="22A008F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DGIAI</w:t>
            </w:r>
          </w:p>
        </w:tc>
        <w:tc>
          <w:tcPr>
            <w:tcW w:w="2881" w:type="dxa"/>
            <w:shd w:val="clear" w:color="auto" w:fill="C5EAFF"/>
            <w:vAlign w:val="center"/>
            <w:hideMark/>
          </w:tcPr>
          <w:p w14:paraId="708422E6"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Estado de Ánimo de los Tuiteros</w:t>
            </w:r>
          </w:p>
        </w:tc>
        <w:tc>
          <w:tcPr>
            <w:tcW w:w="1134" w:type="dxa"/>
            <w:shd w:val="clear" w:color="auto" w:fill="C5EAFF"/>
            <w:vAlign w:val="center"/>
            <w:hideMark/>
          </w:tcPr>
          <w:p w14:paraId="183BBC7B"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46BA75F4"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7A4BDF1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4BBB54B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6CACFF90"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C5EAFF"/>
            <w:vAlign w:val="center"/>
            <w:hideMark/>
          </w:tcPr>
          <w:p w14:paraId="43D51B6B"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C5EAFF"/>
            <w:vAlign w:val="center"/>
            <w:hideMark/>
          </w:tcPr>
          <w:p w14:paraId="6189A51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78907A8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59B8F52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13BD025" w14:textId="77777777" w:rsidTr="00EE79D4">
        <w:trPr>
          <w:trHeight w:val="20"/>
        </w:trPr>
        <w:tc>
          <w:tcPr>
            <w:tcW w:w="1083" w:type="dxa"/>
            <w:shd w:val="clear" w:color="auto" w:fill="C5EAFF"/>
            <w:vAlign w:val="center"/>
            <w:hideMark/>
          </w:tcPr>
          <w:p w14:paraId="70742829"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DGIAI</w:t>
            </w:r>
          </w:p>
        </w:tc>
        <w:tc>
          <w:tcPr>
            <w:tcW w:w="2881" w:type="dxa"/>
            <w:shd w:val="clear" w:color="auto" w:fill="C5EAFF"/>
            <w:vAlign w:val="center"/>
            <w:hideMark/>
          </w:tcPr>
          <w:p w14:paraId="3335A41B"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proofErr w:type="spellStart"/>
            <w:r w:rsidRPr="00296E53">
              <w:rPr>
                <w:rFonts w:ascii="Century Gothic" w:eastAsia="Times New Roman" w:hAnsi="Century Gothic" w:cs="Arial"/>
                <w:color w:val="000000"/>
                <w:sz w:val="17"/>
                <w:szCs w:val="17"/>
                <w:lang w:val="en-US"/>
              </w:rPr>
              <w:t>Bienestar</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Autorreportado</w:t>
            </w:r>
            <w:proofErr w:type="spellEnd"/>
          </w:p>
        </w:tc>
        <w:tc>
          <w:tcPr>
            <w:tcW w:w="1134" w:type="dxa"/>
            <w:shd w:val="clear" w:color="auto" w:fill="C5EAFF"/>
            <w:vAlign w:val="center"/>
            <w:hideMark/>
          </w:tcPr>
          <w:p w14:paraId="2BE5795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C5EAFF"/>
            <w:vAlign w:val="center"/>
            <w:hideMark/>
          </w:tcPr>
          <w:p w14:paraId="1D6D277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7F90F6A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77530B0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47DB0BBF"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395E702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7700A8B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6F55183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2E8F0EE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CB59F62" w14:textId="77777777" w:rsidTr="00EE79D4">
        <w:trPr>
          <w:trHeight w:val="20"/>
        </w:trPr>
        <w:tc>
          <w:tcPr>
            <w:tcW w:w="1083" w:type="dxa"/>
            <w:shd w:val="clear" w:color="auto" w:fill="C5EAFF"/>
            <w:vAlign w:val="center"/>
            <w:hideMark/>
          </w:tcPr>
          <w:p w14:paraId="2EACEA91"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DGIAI</w:t>
            </w:r>
          </w:p>
        </w:tc>
        <w:tc>
          <w:tcPr>
            <w:tcW w:w="2881" w:type="dxa"/>
            <w:shd w:val="clear" w:color="auto" w:fill="C5EAFF"/>
            <w:vAlign w:val="center"/>
            <w:hideMark/>
          </w:tcPr>
          <w:p w14:paraId="3AAF8F53"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 xml:space="preserve">Sistema de </w:t>
            </w:r>
            <w:proofErr w:type="spellStart"/>
            <w:r w:rsidRPr="00296E53">
              <w:rPr>
                <w:rFonts w:ascii="Century Gothic" w:eastAsia="Times New Roman" w:hAnsi="Century Gothic" w:cs="Arial"/>
                <w:color w:val="000000"/>
                <w:sz w:val="17"/>
                <w:szCs w:val="17"/>
                <w:lang w:val="en-US"/>
              </w:rPr>
              <w:t>Indicadores</w:t>
            </w:r>
            <w:proofErr w:type="spellEnd"/>
            <w:r w:rsidRPr="00296E53">
              <w:rPr>
                <w:rFonts w:ascii="Century Gothic" w:eastAsia="Times New Roman" w:hAnsi="Century Gothic" w:cs="Arial"/>
                <w:color w:val="000000"/>
                <w:sz w:val="17"/>
                <w:szCs w:val="17"/>
                <w:lang w:val="en-US"/>
              </w:rPr>
              <w:t xml:space="preserve"> </w:t>
            </w:r>
            <w:proofErr w:type="spellStart"/>
            <w:r w:rsidRPr="00296E53">
              <w:rPr>
                <w:rFonts w:ascii="Century Gothic" w:eastAsia="Times New Roman" w:hAnsi="Century Gothic" w:cs="Arial"/>
                <w:color w:val="000000"/>
                <w:sz w:val="17"/>
                <w:szCs w:val="17"/>
                <w:lang w:val="en-US"/>
              </w:rPr>
              <w:t>Cíclicos</w:t>
            </w:r>
            <w:proofErr w:type="spellEnd"/>
          </w:p>
        </w:tc>
        <w:tc>
          <w:tcPr>
            <w:tcW w:w="1134" w:type="dxa"/>
            <w:shd w:val="clear" w:color="auto" w:fill="C5EAFF"/>
            <w:vAlign w:val="center"/>
            <w:hideMark/>
          </w:tcPr>
          <w:p w14:paraId="7C1A240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C5EAFF"/>
            <w:vAlign w:val="center"/>
            <w:hideMark/>
          </w:tcPr>
          <w:p w14:paraId="11E5790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2B6038C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256F68E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3E189015"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4F5C3C8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208A40F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72EBE3C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5E8D45A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bl>
    <w:p w14:paraId="0EB067A5" w14:textId="77777777" w:rsidR="00F34563" w:rsidRPr="00296E53" w:rsidRDefault="00F34563" w:rsidP="006A74B8">
      <w:pPr>
        <w:spacing w:after="0"/>
        <w:jc w:val="center"/>
        <w:rPr>
          <w:rFonts w:ascii="Century Gothic" w:hAnsi="Century Gothic"/>
          <w:b/>
          <w:sz w:val="19"/>
          <w:szCs w:val="19"/>
        </w:rPr>
      </w:pPr>
    </w:p>
    <w:p w14:paraId="2084CDEE" w14:textId="77777777" w:rsidR="00872FE8" w:rsidRPr="00296E53" w:rsidRDefault="00872FE8">
      <w:pPr>
        <w:rPr>
          <w:rFonts w:ascii="Century Gothic" w:hAnsi="Century Gothic"/>
          <w:b/>
          <w:sz w:val="19"/>
          <w:szCs w:val="19"/>
        </w:rPr>
      </w:pPr>
      <w:r w:rsidRPr="00296E53">
        <w:rPr>
          <w:rFonts w:ascii="Century Gothic" w:hAnsi="Century Gothic"/>
          <w:b/>
          <w:sz w:val="19"/>
          <w:szCs w:val="19"/>
        </w:rPr>
        <w:br w:type="page"/>
      </w:r>
    </w:p>
    <w:p w14:paraId="21DCE4A7" w14:textId="77777777" w:rsidR="00872FE8" w:rsidRPr="00296E53" w:rsidRDefault="00872FE8" w:rsidP="00872FE8">
      <w:pPr>
        <w:spacing w:after="0"/>
        <w:jc w:val="right"/>
        <w:rPr>
          <w:rFonts w:ascii="Century Gothic" w:hAnsi="Century Gothic"/>
        </w:rPr>
      </w:pPr>
      <w:r w:rsidRPr="00296E53">
        <w:rPr>
          <w:rFonts w:cstheme="minorHAnsi"/>
          <w:color w:val="0079BF"/>
          <w:sz w:val="36"/>
          <w:szCs w:val="144"/>
        </w:rPr>
        <w:t>ANEXO 2</w:t>
      </w:r>
    </w:p>
    <w:tbl>
      <w:tblPr>
        <w:tblW w:w="16307" w:type="dxa"/>
        <w:tblInd w:w="-1139" w:type="dxa"/>
        <w:tblLook w:val="04A0" w:firstRow="1" w:lastRow="0" w:firstColumn="1" w:lastColumn="0" w:noHBand="0" w:noVBand="1"/>
      </w:tblPr>
      <w:tblGrid>
        <w:gridCol w:w="7518"/>
        <w:gridCol w:w="8789"/>
      </w:tblGrid>
      <w:tr w:rsidR="00872FE8" w:rsidRPr="00296E53" w14:paraId="4AC64365" w14:textId="77777777" w:rsidTr="00365D05">
        <w:trPr>
          <w:trHeight w:val="201"/>
        </w:trPr>
        <w:tc>
          <w:tcPr>
            <w:tcW w:w="7518" w:type="dxa"/>
            <w:shd w:val="clear" w:color="auto" w:fill="1F3864" w:themeFill="accent5" w:themeFillShade="80"/>
          </w:tcPr>
          <w:p w14:paraId="323C8F32" w14:textId="77777777" w:rsidR="00872FE8" w:rsidRPr="00296E53" w:rsidRDefault="00872FE8" w:rsidP="00365D05">
            <w:pPr>
              <w:rPr>
                <w:rFonts w:cstheme="minorHAnsi"/>
                <w:color w:val="FFFFFF" w:themeColor="background1"/>
                <w:sz w:val="2"/>
                <w:szCs w:val="18"/>
              </w:rPr>
            </w:pPr>
          </w:p>
        </w:tc>
        <w:tc>
          <w:tcPr>
            <w:tcW w:w="8789" w:type="dxa"/>
            <w:shd w:val="clear" w:color="auto" w:fill="auto"/>
          </w:tcPr>
          <w:p w14:paraId="584E314D" w14:textId="77777777" w:rsidR="00872FE8" w:rsidRPr="00296E53" w:rsidRDefault="00872FE8" w:rsidP="00365D05">
            <w:pPr>
              <w:rPr>
                <w:rFonts w:cstheme="minorHAnsi"/>
                <w:color w:val="FFFFFF" w:themeColor="background1"/>
                <w:sz w:val="2"/>
                <w:szCs w:val="18"/>
              </w:rPr>
            </w:pPr>
          </w:p>
        </w:tc>
      </w:tr>
      <w:tr w:rsidR="00872FE8" w:rsidRPr="00296E53" w14:paraId="4F8C61F3" w14:textId="77777777" w:rsidTr="00365D05">
        <w:trPr>
          <w:trHeight w:val="201"/>
        </w:trPr>
        <w:tc>
          <w:tcPr>
            <w:tcW w:w="7518" w:type="dxa"/>
            <w:shd w:val="clear" w:color="auto" w:fill="0079BF"/>
          </w:tcPr>
          <w:p w14:paraId="33144D2A" w14:textId="77777777" w:rsidR="00872FE8" w:rsidRPr="00296E53" w:rsidRDefault="00872FE8" w:rsidP="00365D05">
            <w:pPr>
              <w:rPr>
                <w:rFonts w:cstheme="minorHAnsi"/>
                <w:color w:val="FFFFFF" w:themeColor="background1"/>
                <w:sz w:val="2"/>
                <w:szCs w:val="18"/>
              </w:rPr>
            </w:pPr>
          </w:p>
        </w:tc>
        <w:tc>
          <w:tcPr>
            <w:tcW w:w="8789" w:type="dxa"/>
            <w:shd w:val="clear" w:color="auto" w:fill="0079BF"/>
          </w:tcPr>
          <w:p w14:paraId="2CE10513" w14:textId="77777777" w:rsidR="00872FE8" w:rsidRPr="00296E53" w:rsidRDefault="00872FE8" w:rsidP="00365D05">
            <w:pPr>
              <w:rPr>
                <w:rFonts w:cstheme="minorHAnsi"/>
                <w:color w:val="FFFFFF" w:themeColor="background1"/>
                <w:sz w:val="2"/>
                <w:szCs w:val="18"/>
              </w:rPr>
            </w:pPr>
          </w:p>
        </w:tc>
      </w:tr>
    </w:tbl>
    <w:p w14:paraId="4320B65D" w14:textId="77777777" w:rsidR="00FD5C59" w:rsidRPr="00296E53" w:rsidRDefault="00FD5C59" w:rsidP="00FD5C59">
      <w:pPr>
        <w:pStyle w:val="Ttulo1"/>
        <w:rPr>
          <w:rFonts w:ascii="Century Gothic" w:eastAsiaTheme="minorHAnsi" w:hAnsi="Century Gothic" w:cstheme="minorBidi"/>
          <w:b/>
          <w:color w:val="auto"/>
          <w:sz w:val="22"/>
          <w:szCs w:val="22"/>
        </w:rPr>
      </w:pPr>
      <w:bookmarkStart w:id="12" w:name="_Toc65502229"/>
      <w:r w:rsidRPr="00296E53">
        <w:rPr>
          <w:rFonts w:ascii="Century Gothic" w:eastAsiaTheme="minorHAnsi" w:hAnsi="Century Gothic" w:cstheme="minorBidi"/>
          <w:b/>
          <w:color w:val="auto"/>
          <w:sz w:val="22"/>
          <w:szCs w:val="22"/>
        </w:rPr>
        <w:t>Anexo 2: Indicadores de Oportunidad</w:t>
      </w:r>
      <w:bookmarkEnd w:id="12"/>
    </w:p>
    <w:p w14:paraId="1471E367" w14:textId="068F17EC" w:rsidR="00196FCB" w:rsidRPr="00296E53" w:rsidRDefault="00196FCB" w:rsidP="007B5C00">
      <w:pPr>
        <w:spacing w:before="240"/>
        <w:jc w:val="both"/>
        <w:rPr>
          <w:rFonts w:ascii="Century Gothic" w:hAnsi="Century Gothic"/>
          <w:sz w:val="19"/>
          <w:szCs w:val="19"/>
        </w:rPr>
      </w:pPr>
      <w:r w:rsidRPr="00296E53">
        <w:rPr>
          <w:rFonts w:ascii="Century Gothic" w:hAnsi="Century Gothic"/>
          <w:sz w:val="19"/>
          <w:szCs w:val="19"/>
        </w:rPr>
        <w:t>En 2018 se aprobaron en el Comité de Aseguramiento de la Calidad dos indicadores de oportunidad:</w:t>
      </w:r>
    </w:p>
    <w:p w14:paraId="702D9518" w14:textId="77777777" w:rsidR="00086FE7" w:rsidRPr="00296E53" w:rsidRDefault="00086FE7" w:rsidP="00086FE7">
      <w:pPr>
        <w:spacing w:before="120"/>
        <w:jc w:val="center"/>
        <w:rPr>
          <w:b/>
        </w:rPr>
      </w:pPr>
      <w:r w:rsidRPr="00296E53">
        <w:rPr>
          <w:b/>
        </w:rPr>
        <w:t>A.2.1. Indicadores de oportunidad aprobados</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11985"/>
      </w:tblGrid>
      <w:tr w:rsidR="00196FCB" w:rsidRPr="00296E53" w14:paraId="67FCD7D6" w14:textId="77777777" w:rsidTr="00196FCB">
        <w:tc>
          <w:tcPr>
            <w:tcW w:w="2405" w:type="dxa"/>
            <w:shd w:val="clear" w:color="auto" w:fill="1F4E79" w:themeFill="accent1" w:themeFillShade="80"/>
            <w:vAlign w:val="center"/>
          </w:tcPr>
          <w:p w14:paraId="1FBDC024" w14:textId="77777777" w:rsidR="00196FCB" w:rsidRPr="00296E53" w:rsidRDefault="00196FCB" w:rsidP="00196FCB">
            <w:pPr>
              <w:spacing w:before="40" w:after="40"/>
              <w:jc w:val="center"/>
              <w:rPr>
                <w:rFonts w:ascii="Century Gothic" w:hAnsi="Century Gothic"/>
                <w:color w:val="FFFFFF" w:themeColor="background1"/>
                <w:sz w:val="17"/>
                <w:szCs w:val="17"/>
              </w:rPr>
            </w:pPr>
            <w:r w:rsidRPr="00296E53">
              <w:rPr>
                <w:rFonts w:ascii="Century Gothic" w:hAnsi="Century Gothic"/>
                <w:color w:val="FFFFFF" w:themeColor="background1"/>
                <w:sz w:val="17"/>
                <w:szCs w:val="17"/>
              </w:rPr>
              <w:t>Nombre del indicador</w:t>
            </w:r>
          </w:p>
        </w:tc>
        <w:tc>
          <w:tcPr>
            <w:tcW w:w="11985" w:type="dxa"/>
            <w:shd w:val="clear" w:color="auto" w:fill="1F4E79" w:themeFill="accent1" w:themeFillShade="80"/>
            <w:vAlign w:val="center"/>
          </w:tcPr>
          <w:p w14:paraId="4D80F9D2" w14:textId="77777777" w:rsidR="00196FCB" w:rsidRPr="00296E53" w:rsidRDefault="00196FCB" w:rsidP="00196FCB">
            <w:pPr>
              <w:spacing w:before="40" w:after="40"/>
              <w:jc w:val="center"/>
              <w:rPr>
                <w:rFonts w:ascii="Century Gothic" w:hAnsi="Century Gothic"/>
                <w:color w:val="FFFFFF" w:themeColor="background1"/>
                <w:sz w:val="17"/>
                <w:szCs w:val="17"/>
              </w:rPr>
            </w:pPr>
            <w:r w:rsidRPr="00296E53">
              <w:rPr>
                <w:rFonts w:ascii="Century Gothic" w:hAnsi="Century Gothic"/>
                <w:color w:val="FFFFFF" w:themeColor="background1"/>
                <w:sz w:val="17"/>
                <w:szCs w:val="17"/>
              </w:rPr>
              <w:t>Definición</w:t>
            </w:r>
          </w:p>
        </w:tc>
      </w:tr>
      <w:tr w:rsidR="00196FCB" w:rsidRPr="00296E53" w14:paraId="0C8CC2EE" w14:textId="77777777" w:rsidTr="00196FCB">
        <w:tc>
          <w:tcPr>
            <w:tcW w:w="2405" w:type="dxa"/>
            <w:vAlign w:val="center"/>
          </w:tcPr>
          <w:p w14:paraId="69F111D1" w14:textId="77777777" w:rsidR="00196FCB" w:rsidRPr="00296E53" w:rsidRDefault="00196FCB" w:rsidP="00196FCB">
            <w:pPr>
              <w:spacing w:before="40" w:after="40"/>
              <w:rPr>
                <w:rFonts w:ascii="Century Gothic" w:hAnsi="Century Gothic"/>
                <w:sz w:val="17"/>
                <w:szCs w:val="17"/>
              </w:rPr>
            </w:pPr>
            <w:r w:rsidRPr="00296E53">
              <w:rPr>
                <w:rFonts w:ascii="Century Gothic" w:hAnsi="Century Gothic"/>
                <w:sz w:val="17"/>
                <w:szCs w:val="17"/>
              </w:rPr>
              <w:t>Indicador de oportunidad (IDO)</w:t>
            </w:r>
          </w:p>
        </w:tc>
        <w:tc>
          <w:tcPr>
            <w:tcW w:w="11985" w:type="dxa"/>
            <w:vAlign w:val="center"/>
          </w:tcPr>
          <w:p w14:paraId="60458066" w14:textId="77777777" w:rsidR="00196FCB" w:rsidRPr="00296E53" w:rsidRDefault="00196FCB" w:rsidP="00196FCB">
            <w:pPr>
              <w:spacing w:before="40" w:after="40"/>
              <w:jc w:val="both"/>
              <w:rPr>
                <w:rFonts w:ascii="Century Gothic" w:hAnsi="Century Gothic"/>
                <w:sz w:val="17"/>
                <w:szCs w:val="17"/>
              </w:rPr>
            </w:pPr>
            <w:r w:rsidRPr="00296E53">
              <w:rPr>
                <w:rFonts w:ascii="Century Gothic" w:hAnsi="Century Gothic"/>
                <w:sz w:val="17"/>
                <w:szCs w:val="17"/>
              </w:rPr>
              <w:t xml:space="preserve">Es la diferencia entre un parámetro de oportunidad que sirve de referencia sobre las mejores prácticas en materia de difusión y el tiempo con el que actualmente el Instituto da a conocer la información en cuestión. La oportunidad consiste en el número de días que transcurren entre el fenómeno reportado y la difusión de los resultados. </w:t>
            </w:r>
          </w:p>
          <w:p w14:paraId="655BC476" w14:textId="77777777" w:rsidR="00196FCB" w:rsidRPr="00296E53" w:rsidRDefault="00196FCB" w:rsidP="00196FCB">
            <w:pPr>
              <w:spacing w:before="40" w:after="40"/>
              <w:jc w:val="both"/>
              <w:rPr>
                <w:rFonts w:ascii="Century Gothic" w:hAnsi="Century Gothic"/>
                <w:sz w:val="17"/>
                <w:szCs w:val="17"/>
              </w:rPr>
            </w:pPr>
            <w:r w:rsidRPr="00296E53">
              <w:rPr>
                <w:rFonts w:ascii="Century Gothic" w:hAnsi="Century Gothic"/>
                <w:sz w:val="17"/>
                <w:szCs w:val="17"/>
              </w:rPr>
              <w:t>Este indicador se calcula para cada uno de los programas y sus productos, el parámetro de oportunidad se identifica como una referencia con la cual se puede comparar individualmente la oportunidad de los proyectos del Instituto.</w:t>
            </w:r>
          </w:p>
        </w:tc>
      </w:tr>
      <w:tr w:rsidR="00196FCB" w:rsidRPr="00296E53" w14:paraId="1F4753F8" w14:textId="77777777" w:rsidTr="00196FCB">
        <w:tc>
          <w:tcPr>
            <w:tcW w:w="2405" w:type="dxa"/>
            <w:vAlign w:val="center"/>
          </w:tcPr>
          <w:p w14:paraId="0F1ED2B2" w14:textId="77777777" w:rsidR="00196FCB" w:rsidRPr="00296E53" w:rsidRDefault="00196FCB" w:rsidP="00196FCB">
            <w:pPr>
              <w:spacing w:before="40" w:after="40"/>
              <w:rPr>
                <w:rFonts w:ascii="Century Gothic" w:hAnsi="Century Gothic"/>
                <w:sz w:val="17"/>
                <w:szCs w:val="17"/>
              </w:rPr>
            </w:pPr>
            <w:r w:rsidRPr="00296E53">
              <w:rPr>
                <w:rFonts w:ascii="Century Gothic" w:hAnsi="Century Gothic"/>
                <w:sz w:val="17"/>
                <w:szCs w:val="17"/>
              </w:rPr>
              <w:t>Indicador institucional de oportunidad (IIO)</w:t>
            </w:r>
          </w:p>
        </w:tc>
        <w:tc>
          <w:tcPr>
            <w:tcW w:w="11985" w:type="dxa"/>
            <w:vAlign w:val="center"/>
          </w:tcPr>
          <w:p w14:paraId="2C85ACEA" w14:textId="77777777" w:rsidR="00196FCB" w:rsidRPr="00296E53" w:rsidRDefault="00196FCB" w:rsidP="00196FCB">
            <w:pPr>
              <w:spacing w:before="40" w:after="40"/>
              <w:jc w:val="both"/>
              <w:rPr>
                <w:rFonts w:ascii="Century Gothic" w:hAnsi="Century Gothic"/>
                <w:sz w:val="17"/>
                <w:szCs w:val="17"/>
              </w:rPr>
            </w:pPr>
            <w:r w:rsidRPr="00296E53">
              <w:rPr>
                <w:rFonts w:ascii="Century Gothic" w:hAnsi="Century Gothic"/>
                <w:sz w:val="17"/>
                <w:szCs w:val="17"/>
              </w:rPr>
              <w:t>El indicador institucional de oportunidad se define como el promedio aritmético de los Indicadores de Oportunidad de los proyectos individuales considerados en la Matriz de Parámetros de Oportunidad y para los cuales se haya identificado un parámetro de oportunidad.</w:t>
            </w:r>
          </w:p>
        </w:tc>
      </w:tr>
    </w:tbl>
    <w:p w14:paraId="076945CF" w14:textId="77777777" w:rsidR="00C56093" w:rsidRPr="00296E53" w:rsidRDefault="00C56093" w:rsidP="007B5C00">
      <w:pPr>
        <w:spacing w:before="240"/>
        <w:jc w:val="both"/>
        <w:rPr>
          <w:rFonts w:ascii="Century Gothic" w:hAnsi="Century Gothic"/>
          <w:sz w:val="19"/>
          <w:szCs w:val="19"/>
        </w:rPr>
      </w:pPr>
      <w:r w:rsidRPr="00296E53">
        <w:rPr>
          <w:rFonts w:ascii="Century Gothic" w:hAnsi="Century Gothic"/>
          <w:sz w:val="19"/>
          <w:szCs w:val="19"/>
        </w:rPr>
        <w:t>A continuación, se presenta la actualización de la oportunidad de cada uno de los productos que divulgó el Instituto durante 2020 empleando el calendario de difusión, el cálculo de los indicadores de oportunidad, tanto los Indicadores Individuales de Oportunidad (IIO) para cada producto como el Institucional (IDO) para el año de referencia, y d) cálculo del IDO para la matriz completa al 2020.</w:t>
      </w:r>
    </w:p>
    <w:p w14:paraId="6CA7D2BD" w14:textId="77777777" w:rsidR="00C56093" w:rsidRPr="00296E53" w:rsidRDefault="00C56093" w:rsidP="007B5C00">
      <w:pPr>
        <w:spacing w:before="240"/>
        <w:jc w:val="both"/>
        <w:rPr>
          <w:rFonts w:ascii="Century Gothic" w:hAnsi="Century Gothic"/>
          <w:sz w:val="19"/>
          <w:szCs w:val="19"/>
        </w:rPr>
      </w:pPr>
      <w:r w:rsidRPr="00296E53">
        <w:rPr>
          <w:rFonts w:ascii="Century Gothic" w:hAnsi="Century Gothic"/>
          <w:sz w:val="19"/>
          <w:szCs w:val="19"/>
        </w:rPr>
        <w:t>Cabe destacar que, en el 2020, siete programas tuvieron cancelaciones; seis en sus ciclos de entrega y uno con periodicidad anual, adicionalmente hubo reprogramaciones en las fechas correspondientes a la difusión de los programas. Los indicadores incluyen las fechas reprogramadas, así como los parámetros actualizados en 2019.</w:t>
      </w:r>
    </w:p>
    <w:p w14:paraId="7D4C93DE" w14:textId="12455B34" w:rsidR="00C56093" w:rsidRPr="00296E53" w:rsidRDefault="00C56093" w:rsidP="007B5C00">
      <w:pPr>
        <w:spacing w:before="240"/>
        <w:jc w:val="both"/>
        <w:rPr>
          <w:rFonts w:ascii="Century Gothic" w:hAnsi="Century Gothic"/>
          <w:sz w:val="19"/>
          <w:szCs w:val="19"/>
        </w:rPr>
      </w:pPr>
      <w:r w:rsidRPr="00296E53">
        <w:rPr>
          <w:rFonts w:ascii="Century Gothic" w:hAnsi="Century Gothic"/>
          <w:sz w:val="19"/>
          <w:szCs w:val="19"/>
        </w:rPr>
        <w:t>Con la actualización a 2019</w:t>
      </w:r>
      <w:r w:rsidR="00721C42" w:rsidRPr="00296E53">
        <w:rPr>
          <w:rFonts w:ascii="Century Gothic" w:hAnsi="Century Gothic"/>
          <w:sz w:val="19"/>
          <w:szCs w:val="19"/>
        </w:rPr>
        <w:t>,</w:t>
      </w:r>
      <w:r w:rsidRPr="00296E53">
        <w:rPr>
          <w:rFonts w:ascii="Century Gothic" w:hAnsi="Century Gothic"/>
          <w:sz w:val="19"/>
          <w:szCs w:val="19"/>
        </w:rPr>
        <w:t xml:space="preserve"> la matriz de parámetros de oportunidad y conforme a los programas incluidos en el calendario de difusión de información estadística y geográfica y de Interés Nacional del INEGI se contó con 107 productos del instituto, de los cuales el 50% cuenta  con un parámetro de oportunidad, el 28% con una propuesta interna de parámetro (realizada por el área generadora) y el 22% restante no se identifica un parámetro de oportunidad ni se realiza una propuesta interna de parámetro.</w:t>
      </w:r>
    </w:p>
    <w:p w14:paraId="09C8A4BF" w14:textId="7164F878" w:rsidR="00096EF4" w:rsidRPr="00296E53" w:rsidRDefault="00096EF4">
      <w:pPr>
        <w:rPr>
          <w:rFonts w:ascii="Century Gothic" w:hAnsi="Century Gothic"/>
          <w:sz w:val="19"/>
          <w:szCs w:val="19"/>
        </w:rPr>
      </w:pPr>
      <w:r w:rsidRPr="00296E53">
        <w:rPr>
          <w:rFonts w:ascii="Century Gothic" w:hAnsi="Century Gothic"/>
          <w:sz w:val="19"/>
          <w:szCs w:val="19"/>
        </w:rPr>
        <w:br w:type="page"/>
      </w:r>
    </w:p>
    <w:p w14:paraId="34734F69" w14:textId="77777777" w:rsidR="003C1445" w:rsidRDefault="003C1445" w:rsidP="003C1445">
      <w:pPr>
        <w:spacing w:before="120"/>
        <w:jc w:val="center"/>
        <w:rPr>
          <w:b/>
        </w:rPr>
      </w:pPr>
      <w:r w:rsidRPr="00296E53">
        <w:rPr>
          <w:b/>
        </w:rPr>
        <w:t>A.2.2. Distribución de los productos revisados según el tipo de instrumento de oportunidad identificado a 2020. (Estructura porcentual)</w:t>
      </w:r>
    </w:p>
    <w:p w14:paraId="46BA4F21" w14:textId="77777777" w:rsidR="003C1445" w:rsidRDefault="003C1445" w:rsidP="003C1445">
      <w:pPr>
        <w:spacing w:before="120"/>
        <w:jc w:val="center"/>
        <w:rPr>
          <w:b/>
        </w:rPr>
      </w:pPr>
    </w:p>
    <w:p w14:paraId="747A729C" w14:textId="48258021" w:rsidR="003C1445" w:rsidRDefault="003C1445" w:rsidP="003C1445">
      <w:pPr>
        <w:spacing w:before="120"/>
        <w:jc w:val="center"/>
        <w:rPr>
          <w:b/>
        </w:rPr>
      </w:pPr>
      <w:r w:rsidRPr="003C1445">
        <w:drawing>
          <wp:inline distT="0" distB="0" distL="0" distR="0" wp14:anchorId="54FAF3E3" wp14:editId="6DDCBC02">
            <wp:extent cx="4513580" cy="2780030"/>
            <wp:effectExtent l="0" t="0" r="127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3580" cy="2780030"/>
                    </a:xfrm>
                    <a:prstGeom prst="rect">
                      <a:avLst/>
                    </a:prstGeom>
                    <a:noFill/>
                    <a:ln>
                      <a:noFill/>
                    </a:ln>
                  </pic:spPr>
                </pic:pic>
              </a:graphicData>
            </a:graphic>
          </wp:inline>
        </w:drawing>
      </w:r>
    </w:p>
    <w:p w14:paraId="05A357ED" w14:textId="77777777" w:rsidR="003C1445" w:rsidRPr="00296E53" w:rsidRDefault="003C1445" w:rsidP="003C1445">
      <w:pPr>
        <w:spacing w:before="240"/>
        <w:jc w:val="both"/>
        <w:rPr>
          <w:rFonts w:ascii="Century Gothic" w:hAnsi="Century Gothic"/>
          <w:sz w:val="19"/>
          <w:szCs w:val="19"/>
        </w:rPr>
      </w:pPr>
      <w:r w:rsidRPr="003C1445">
        <w:rPr>
          <w:rFonts w:ascii="Century Gothic" w:hAnsi="Century Gothic"/>
          <w:sz w:val="19"/>
          <w:szCs w:val="19"/>
        </w:rPr>
        <w:t>De los productos del Instituto con parámetro de oportunidad (81 productos), 17 hacen referencia a recomendaciones internacionales para la difusión de la información, 27 se identificaron a partir de experiencias internacionales, 11 lo hicieron con normas internacionales de divulgación, para 10 se consideraron lineamientos institucionales, en 2 de políticas o regulaciones nacionales, y en 2 se hizo referencia a otros instrumentos como parámetros de oportunidad y 12 propuestas internas.</w:t>
      </w:r>
    </w:p>
    <w:p w14:paraId="39EB8157" w14:textId="28FA53CD" w:rsidR="00C56093" w:rsidRPr="00296E53" w:rsidRDefault="00C56093" w:rsidP="00C56093">
      <w:pPr>
        <w:spacing w:before="240"/>
        <w:jc w:val="both"/>
        <w:rPr>
          <w:rFonts w:ascii="Century Gothic" w:hAnsi="Century Gothic"/>
          <w:sz w:val="19"/>
          <w:szCs w:val="19"/>
        </w:rPr>
      </w:pPr>
      <w:r w:rsidRPr="00296E53">
        <w:rPr>
          <w:rFonts w:ascii="Century Gothic" w:hAnsi="Century Gothic"/>
          <w:sz w:val="19"/>
          <w:szCs w:val="19"/>
        </w:rPr>
        <w:t xml:space="preserve">A partir de la información contenida en la matriz de parámetros de oportunidad actualizada durante el segundo semestre de 2019 se realizó el cálculo de los indicadores de oportunidad, empleando aquellos productos del Instituto que fueron registrados en el calendario de difusión 2019 y para los cuales se identificó un parámetro de oportunidad. </w:t>
      </w:r>
      <w:bookmarkStart w:id="13" w:name="_Hlk63938822"/>
      <w:r w:rsidRPr="00296E53">
        <w:rPr>
          <w:rFonts w:ascii="Century Gothic" w:hAnsi="Century Gothic"/>
          <w:sz w:val="19"/>
          <w:szCs w:val="19"/>
        </w:rPr>
        <w:t>El ejercicio se realizó con los 8</w:t>
      </w:r>
      <w:r w:rsidR="00E06F03">
        <w:rPr>
          <w:rFonts w:ascii="Century Gothic" w:hAnsi="Century Gothic"/>
          <w:sz w:val="19"/>
          <w:szCs w:val="19"/>
        </w:rPr>
        <w:t>1</w:t>
      </w:r>
      <w:r w:rsidRPr="00296E53">
        <w:rPr>
          <w:rFonts w:ascii="Century Gothic" w:hAnsi="Century Gothic"/>
          <w:sz w:val="19"/>
          <w:szCs w:val="19"/>
        </w:rPr>
        <w:t xml:space="preserve"> productos que se publicaron en 2020 y el principal resultado obtenido fue el Indicador Institucional de Oportunidad (IIO) que registró 0.</w:t>
      </w:r>
      <w:r w:rsidR="00E06F03">
        <w:rPr>
          <w:rFonts w:ascii="Century Gothic" w:hAnsi="Century Gothic"/>
          <w:sz w:val="19"/>
          <w:szCs w:val="19"/>
        </w:rPr>
        <w:t>10</w:t>
      </w:r>
      <w:r w:rsidRPr="00296E53">
        <w:rPr>
          <w:rFonts w:ascii="Century Gothic" w:hAnsi="Century Gothic"/>
          <w:sz w:val="19"/>
          <w:szCs w:val="19"/>
        </w:rPr>
        <w:t xml:space="preserve"> puntos (véase gráfico siguiente), manteniéndose muy cercano al</w:t>
      </w:r>
      <w:r w:rsidR="00223639" w:rsidRPr="00296E53">
        <w:rPr>
          <w:rFonts w:ascii="Century Gothic" w:hAnsi="Century Gothic"/>
          <w:sz w:val="19"/>
          <w:szCs w:val="19"/>
        </w:rPr>
        <w:t xml:space="preserve"> 0.09</w:t>
      </w:r>
      <w:r w:rsidRPr="00296E53">
        <w:rPr>
          <w:rFonts w:ascii="Century Gothic" w:hAnsi="Century Gothic"/>
          <w:sz w:val="19"/>
          <w:szCs w:val="19"/>
        </w:rPr>
        <w:t xml:space="preserve"> reportado en 2019.</w:t>
      </w:r>
      <w:bookmarkEnd w:id="13"/>
    </w:p>
    <w:p w14:paraId="1ACDAD7D" w14:textId="04FF8C87" w:rsidR="00C56093" w:rsidRPr="00296E53" w:rsidRDefault="00C56093" w:rsidP="00930379">
      <w:pPr>
        <w:spacing w:before="240"/>
        <w:jc w:val="both"/>
        <w:rPr>
          <w:rFonts w:ascii="Century Gothic" w:hAnsi="Century Gothic"/>
          <w:sz w:val="19"/>
          <w:szCs w:val="19"/>
        </w:rPr>
      </w:pPr>
      <w:r w:rsidRPr="00296E53">
        <w:rPr>
          <w:rFonts w:ascii="Century Gothic" w:hAnsi="Century Gothic"/>
          <w:sz w:val="19"/>
          <w:szCs w:val="19"/>
        </w:rPr>
        <w:t>Es importante señalar que</w:t>
      </w:r>
      <w:r w:rsidR="00FE2147">
        <w:rPr>
          <w:rFonts w:ascii="Century Gothic" w:hAnsi="Century Gothic"/>
          <w:sz w:val="19"/>
          <w:szCs w:val="19"/>
        </w:rPr>
        <w:t>,</w:t>
      </w:r>
      <w:r w:rsidRPr="00296E53">
        <w:rPr>
          <w:rFonts w:ascii="Century Gothic" w:hAnsi="Century Gothic"/>
          <w:sz w:val="19"/>
          <w:szCs w:val="19"/>
        </w:rPr>
        <w:t xml:space="preserve"> a diferencia de los resultados obtenidos en 2019</w:t>
      </w:r>
      <w:r w:rsidR="0076337C" w:rsidRPr="00296E53">
        <w:rPr>
          <w:rFonts w:ascii="Century Gothic" w:hAnsi="Century Gothic"/>
          <w:sz w:val="19"/>
          <w:szCs w:val="19"/>
        </w:rPr>
        <w:t>,</w:t>
      </w:r>
      <w:r w:rsidRPr="00296E53">
        <w:rPr>
          <w:rFonts w:ascii="Century Gothic" w:hAnsi="Century Gothic"/>
          <w:sz w:val="19"/>
          <w:szCs w:val="19"/>
        </w:rPr>
        <w:t xml:space="preserve"> en 2020 se alcanzaron oportunidades menores a los parámetros establecidos al 2019,</w:t>
      </w:r>
      <w:r w:rsidR="001914D7" w:rsidRPr="00296E53">
        <w:rPr>
          <w:rFonts w:ascii="Century Gothic" w:hAnsi="Century Gothic"/>
          <w:sz w:val="19"/>
          <w:szCs w:val="19"/>
        </w:rPr>
        <w:t xml:space="preserve"> lo cual es de esperarse en un año </w:t>
      </w:r>
      <w:r w:rsidR="00377D82" w:rsidRPr="00296E53">
        <w:rPr>
          <w:rFonts w:ascii="Century Gothic" w:hAnsi="Century Gothic"/>
          <w:sz w:val="19"/>
          <w:szCs w:val="19"/>
        </w:rPr>
        <w:t>donde la crisis sanitaria en la que se tuvieron que cancelar algunos ciclos de programas y, en otros casos se retrasaron los operativos de campo</w:t>
      </w:r>
      <w:r w:rsidRPr="00296E53">
        <w:rPr>
          <w:rFonts w:ascii="Century Gothic" w:hAnsi="Century Gothic"/>
          <w:sz w:val="19"/>
          <w:szCs w:val="19"/>
        </w:rPr>
        <w:t>.</w:t>
      </w:r>
      <w:r w:rsidR="001914D7" w:rsidRPr="00296E53">
        <w:rPr>
          <w:rFonts w:ascii="Century Gothic" w:hAnsi="Century Gothic"/>
          <w:sz w:val="19"/>
          <w:szCs w:val="19"/>
        </w:rPr>
        <w:t xml:space="preserve"> E</w:t>
      </w:r>
      <w:r w:rsidRPr="00296E53">
        <w:rPr>
          <w:rFonts w:ascii="Century Gothic" w:hAnsi="Century Gothic"/>
          <w:sz w:val="19"/>
          <w:szCs w:val="19"/>
        </w:rPr>
        <w:t>n la siguiente gráfica se muestra una mayor dispersión en los valores menores de la media.</w:t>
      </w:r>
    </w:p>
    <w:p w14:paraId="0CB9E571" w14:textId="52A3D1BA" w:rsidR="00096EF4" w:rsidRPr="00296E53" w:rsidRDefault="00096EF4">
      <w:pPr>
        <w:rPr>
          <w:rFonts w:ascii="Century Gothic" w:hAnsi="Century Gothic"/>
          <w:sz w:val="19"/>
          <w:szCs w:val="19"/>
        </w:rPr>
      </w:pPr>
      <w:r w:rsidRPr="00296E53">
        <w:rPr>
          <w:rFonts w:ascii="Century Gothic" w:hAnsi="Century Gothic"/>
          <w:sz w:val="19"/>
          <w:szCs w:val="19"/>
        </w:rPr>
        <w:br w:type="page"/>
      </w:r>
    </w:p>
    <w:p w14:paraId="1BEC2A0C" w14:textId="658E86C9" w:rsidR="00C56093" w:rsidRPr="00296E53" w:rsidRDefault="00C56093" w:rsidP="00C56093">
      <w:pPr>
        <w:spacing w:after="0"/>
        <w:jc w:val="center"/>
        <w:rPr>
          <w:rFonts w:ascii="Century Gothic" w:hAnsi="Century Gothic"/>
          <w:b/>
          <w:sz w:val="19"/>
          <w:szCs w:val="19"/>
        </w:rPr>
      </w:pPr>
      <w:r w:rsidRPr="00296E53">
        <w:rPr>
          <w:rFonts w:ascii="Century Gothic" w:hAnsi="Century Gothic"/>
          <w:b/>
          <w:sz w:val="19"/>
          <w:szCs w:val="19"/>
        </w:rPr>
        <w:t>A.2.</w:t>
      </w:r>
      <w:r w:rsidR="00721C42" w:rsidRPr="00296E53">
        <w:rPr>
          <w:rFonts w:ascii="Century Gothic" w:hAnsi="Century Gothic"/>
          <w:b/>
          <w:sz w:val="19"/>
          <w:szCs w:val="19"/>
        </w:rPr>
        <w:t>3</w:t>
      </w:r>
      <w:r w:rsidRPr="00296E53">
        <w:rPr>
          <w:rFonts w:ascii="Century Gothic" w:hAnsi="Century Gothic"/>
          <w:b/>
          <w:sz w:val="19"/>
          <w:szCs w:val="19"/>
        </w:rPr>
        <w:t>.  Resultados del cálculo del Indicador de Oportunidad y el Indicador Institucional de Oportunidad para 2020</w:t>
      </w:r>
    </w:p>
    <w:p w14:paraId="536B8CB9" w14:textId="447E1B8E" w:rsidR="008964E4" w:rsidRPr="00296E53" w:rsidRDefault="008964E4" w:rsidP="00C56093">
      <w:pPr>
        <w:spacing w:after="0"/>
        <w:jc w:val="center"/>
        <w:rPr>
          <w:rFonts w:ascii="Century Gothic" w:hAnsi="Century Gothic"/>
          <w:b/>
          <w:sz w:val="19"/>
          <w:szCs w:val="19"/>
        </w:rPr>
      </w:pPr>
    </w:p>
    <w:p w14:paraId="5AB19D3C" w14:textId="7FD3FAC7" w:rsidR="007B5C00" w:rsidRPr="00296E53" w:rsidRDefault="001F3596" w:rsidP="00630FEA">
      <w:pPr>
        <w:spacing w:after="0"/>
        <w:jc w:val="center"/>
        <w:rPr>
          <w:sz w:val="17"/>
          <w:szCs w:val="17"/>
        </w:rPr>
      </w:pPr>
      <w:r w:rsidRPr="001F3596">
        <w:drawing>
          <wp:inline distT="0" distB="0" distL="0" distR="0" wp14:anchorId="78101192" wp14:editId="256A7AC4">
            <wp:extent cx="6032754" cy="2950185"/>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2941" cy="2964947"/>
                    </a:xfrm>
                    <a:prstGeom prst="rect">
                      <a:avLst/>
                    </a:prstGeom>
                    <a:noFill/>
                    <a:ln>
                      <a:noFill/>
                    </a:ln>
                  </pic:spPr>
                </pic:pic>
              </a:graphicData>
            </a:graphic>
          </wp:inline>
        </w:drawing>
      </w:r>
    </w:p>
    <w:p w14:paraId="3507716A" w14:textId="5D846465" w:rsidR="00C56093" w:rsidRPr="00296E53" w:rsidRDefault="00047124" w:rsidP="004023E9">
      <w:pPr>
        <w:spacing w:before="240"/>
        <w:jc w:val="both"/>
        <w:rPr>
          <w:rFonts w:ascii="Century Gothic" w:hAnsi="Century Gothic"/>
          <w:sz w:val="19"/>
          <w:szCs w:val="19"/>
        </w:rPr>
      </w:pPr>
      <w:r w:rsidRPr="00296E53">
        <w:rPr>
          <w:rFonts w:ascii="Century Gothic" w:hAnsi="Century Gothic"/>
          <w:sz w:val="19"/>
          <w:szCs w:val="19"/>
        </w:rPr>
        <w:t>Los programas con indicador de oportunidad más bajo fueron</w:t>
      </w:r>
      <w:r w:rsidR="0014513D" w:rsidRPr="00296E53">
        <w:rPr>
          <w:rFonts w:ascii="Century Gothic" w:hAnsi="Century Gothic"/>
          <w:sz w:val="19"/>
          <w:szCs w:val="19"/>
        </w:rPr>
        <w:t xml:space="preserve"> la</w:t>
      </w:r>
      <w:r w:rsidRPr="00296E53">
        <w:rPr>
          <w:rFonts w:ascii="Century Gothic" w:hAnsi="Century Gothic"/>
          <w:sz w:val="19"/>
          <w:szCs w:val="19"/>
        </w:rPr>
        <w:t xml:space="preserve"> Encuesta Nacional de Victimización de Empresas y Marco de referencia geodésico, seguidos de </w:t>
      </w:r>
      <w:r w:rsidR="00665809" w:rsidRPr="00296E53">
        <w:rPr>
          <w:rFonts w:ascii="Century Gothic" w:hAnsi="Century Gothic"/>
          <w:sz w:val="19"/>
          <w:szCs w:val="19"/>
        </w:rPr>
        <w:t>la Encuesta Nacional de Ocupación y Empleo y la Encuesta Nacional sobre Confianza del Consumidor.  Cabe señalar que esta última es muy sensible a los cambios puesto que el parámetro de oportunidad definido es de 3 días. En el otro extremo, los programas que presentaron indicadores de oportunidad más altos fueron Encuestas de industrias manufactureras. Encuesta Mensual de la Industria Manufacturera, las Encuestas de opinión empresarial y la estadística de Vehículos de Motor Registrados en Circulación.</w:t>
      </w:r>
    </w:p>
    <w:p w14:paraId="7996B736" w14:textId="77777777" w:rsidR="006D6A5D" w:rsidRPr="00296E53" w:rsidRDefault="006D6A5D" w:rsidP="006D6A5D">
      <w:pPr>
        <w:spacing w:before="240"/>
        <w:jc w:val="both"/>
        <w:rPr>
          <w:rFonts w:ascii="Century Gothic" w:hAnsi="Century Gothic"/>
          <w:sz w:val="19"/>
          <w:szCs w:val="19"/>
        </w:rPr>
      </w:pPr>
      <w:r w:rsidRPr="00296E53">
        <w:rPr>
          <w:rFonts w:ascii="Century Gothic" w:hAnsi="Century Gothic"/>
          <w:sz w:val="19"/>
          <w:szCs w:val="19"/>
        </w:rPr>
        <w:t>Finalmente</w:t>
      </w:r>
      <w:r w:rsidR="0076337C" w:rsidRPr="00296E53">
        <w:rPr>
          <w:rFonts w:ascii="Century Gothic" w:hAnsi="Century Gothic"/>
          <w:sz w:val="19"/>
          <w:szCs w:val="19"/>
        </w:rPr>
        <w:t>,</w:t>
      </w:r>
      <w:r w:rsidRPr="00296E53">
        <w:rPr>
          <w:rFonts w:ascii="Century Gothic" w:hAnsi="Century Gothic"/>
          <w:sz w:val="19"/>
          <w:szCs w:val="19"/>
        </w:rPr>
        <w:t xml:space="preserve"> se presenta un cuadro resumen con los resultados del indicador para el periodo 2018-2020, en donde se</w:t>
      </w:r>
      <w:r w:rsidR="00A4048E" w:rsidRPr="00296E53">
        <w:rPr>
          <w:rFonts w:ascii="Century Gothic" w:hAnsi="Century Gothic"/>
          <w:sz w:val="19"/>
          <w:szCs w:val="19"/>
        </w:rPr>
        <w:t xml:space="preserve"> observa que</w:t>
      </w:r>
      <w:r w:rsidR="0076337C" w:rsidRPr="00296E53">
        <w:rPr>
          <w:rFonts w:ascii="Century Gothic" w:hAnsi="Century Gothic"/>
          <w:sz w:val="19"/>
          <w:szCs w:val="19"/>
        </w:rPr>
        <w:t>,</w:t>
      </w:r>
      <w:r w:rsidR="00A4048E" w:rsidRPr="00296E53">
        <w:rPr>
          <w:rFonts w:ascii="Century Gothic" w:hAnsi="Century Gothic"/>
          <w:sz w:val="19"/>
          <w:szCs w:val="19"/>
        </w:rPr>
        <w:t xml:space="preserve"> en promedio, los programas del INEGI cada vez han tenido mejor oportunidad</w:t>
      </w:r>
      <w:r w:rsidRPr="00296E53">
        <w:rPr>
          <w:rFonts w:ascii="Century Gothic" w:hAnsi="Century Gothic"/>
          <w:sz w:val="19"/>
          <w:szCs w:val="19"/>
        </w:rPr>
        <w:t>.</w:t>
      </w:r>
      <w:r w:rsidR="00A4048E" w:rsidRPr="00296E53">
        <w:rPr>
          <w:rFonts w:ascii="Century Gothic" w:hAnsi="Century Gothic"/>
          <w:sz w:val="19"/>
          <w:szCs w:val="19"/>
        </w:rPr>
        <w:t xml:space="preserve"> </w:t>
      </w:r>
      <w:r w:rsidR="00127687" w:rsidRPr="00296E53">
        <w:rPr>
          <w:rFonts w:ascii="Century Gothic" w:hAnsi="Century Gothic"/>
          <w:sz w:val="19"/>
          <w:szCs w:val="19"/>
        </w:rPr>
        <w:t xml:space="preserve">En cuanto a su dispersión puede notarse que ésta disminuyó considerablemente en 2019 pero aumentó en 2020, </w:t>
      </w:r>
      <w:r w:rsidR="007F6AF1" w:rsidRPr="00296E53">
        <w:rPr>
          <w:rFonts w:ascii="Century Gothic" w:hAnsi="Century Gothic"/>
          <w:sz w:val="19"/>
          <w:szCs w:val="19"/>
        </w:rPr>
        <w:t>lo cual es consistente con la caída del porcentaje de productos de información que cumplieron con el parámetro de oportunidad definido.</w:t>
      </w:r>
    </w:p>
    <w:p w14:paraId="25FF8C4D" w14:textId="4AD0D332" w:rsidR="006D6A5D" w:rsidRPr="00296E53" w:rsidRDefault="006D6A5D" w:rsidP="006D6A5D">
      <w:pPr>
        <w:spacing w:before="240"/>
        <w:jc w:val="center"/>
        <w:rPr>
          <w:rFonts w:ascii="Century Gothic" w:hAnsi="Century Gothic"/>
          <w:b/>
          <w:sz w:val="19"/>
          <w:szCs w:val="19"/>
        </w:rPr>
      </w:pPr>
      <w:r w:rsidRPr="00296E53">
        <w:rPr>
          <w:rFonts w:ascii="Century Gothic" w:hAnsi="Century Gothic"/>
          <w:b/>
          <w:sz w:val="19"/>
          <w:szCs w:val="19"/>
        </w:rPr>
        <w:t>A.2.</w:t>
      </w:r>
      <w:r w:rsidR="00721C42" w:rsidRPr="00296E53">
        <w:rPr>
          <w:rFonts w:ascii="Century Gothic" w:hAnsi="Century Gothic"/>
          <w:b/>
          <w:sz w:val="19"/>
          <w:szCs w:val="19"/>
        </w:rPr>
        <w:t>4</w:t>
      </w:r>
      <w:r w:rsidRPr="00296E53">
        <w:rPr>
          <w:rFonts w:ascii="Century Gothic" w:hAnsi="Century Gothic"/>
          <w:b/>
          <w:sz w:val="19"/>
          <w:szCs w:val="19"/>
        </w:rPr>
        <w:t xml:space="preserve"> Resultados 2018-2020</w:t>
      </w:r>
    </w:p>
    <w:tbl>
      <w:tblPr>
        <w:tblW w:w="807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20"/>
        <w:gridCol w:w="1200"/>
        <w:gridCol w:w="1280"/>
        <w:gridCol w:w="4775"/>
      </w:tblGrid>
      <w:tr w:rsidR="006D6A5D" w:rsidRPr="00296E53" w14:paraId="3CC45C8F" w14:textId="77777777" w:rsidTr="00C349A1">
        <w:trPr>
          <w:trHeight w:val="510"/>
          <w:jc w:val="center"/>
        </w:trPr>
        <w:tc>
          <w:tcPr>
            <w:tcW w:w="820" w:type="dxa"/>
            <w:shd w:val="clear" w:color="auto" w:fill="1F4E79" w:themeFill="accent1" w:themeFillShade="80"/>
            <w:vAlign w:val="center"/>
            <w:hideMark/>
          </w:tcPr>
          <w:p w14:paraId="57B63F36" w14:textId="77777777" w:rsidR="006D6A5D" w:rsidRPr="00296E53" w:rsidRDefault="006D6A5D" w:rsidP="0056136C">
            <w:pPr>
              <w:spacing w:after="0" w:line="240" w:lineRule="auto"/>
              <w:jc w:val="center"/>
              <w:rPr>
                <w:rFonts w:ascii="Century Gothic" w:eastAsia="Times New Roman" w:hAnsi="Century Gothic" w:cs="Times New Roman"/>
                <w:color w:val="FFFFFF"/>
                <w:sz w:val="16"/>
                <w:szCs w:val="16"/>
                <w:lang w:val="en-US"/>
              </w:rPr>
            </w:pPr>
            <w:bookmarkStart w:id="14" w:name="_Hlk63939339"/>
            <w:proofErr w:type="spellStart"/>
            <w:r w:rsidRPr="00296E53">
              <w:rPr>
                <w:rFonts w:ascii="Century Gothic" w:eastAsia="Times New Roman" w:hAnsi="Century Gothic" w:cs="Times New Roman"/>
                <w:color w:val="FFFFFF"/>
                <w:sz w:val="16"/>
                <w:szCs w:val="16"/>
                <w:lang w:val="en-US"/>
              </w:rPr>
              <w:t>Año</w:t>
            </w:r>
            <w:proofErr w:type="spellEnd"/>
          </w:p>
        </w:tc>
        <w:tc>
          <w:tcPr>
            <w:tcW w:w="1200" w:type="dxa"/>
            <w:shd w:val="clear" w:color="auto" w:fill="1F4E79" w:themeFill="accent1" w:themeFillShade="80"/>
            <w:vAlign w:val="center"/>
            <w:hideMark/>
          </w:tcPr>
          <w:p w14:paraId="05A3E146" w14:textId="77777777" w:rsidR="006D6A5D" w:rsidRPr="00296E53" w:rsidRDefault="006D6A5D" w:rsidP="0056136C">
            <w:pPr>
              <w:spacing w:after="0" w:line="240" w:lineRule="auto"/>
              <w:jc w:val="center"/>
              <w:rPr>
                <w:rFonts w:ascii="Century Gothic" w:eastAsia="Times New Roman" w:hAnsi="Century Gothic" w:cs="Times New Roman"/>
                <w:color w:val="FFFFFF"/>
                <w:sz w:val="16"/>
                <w:szCs w:val="16"/>
                <w:lang w:val="en-US"/>
              </w:rPr>
            </w:pPr>
            <w:r w:rsidRPr="00296E53">
              <w:rPr>
                <w:rFonts w:ascii="Century Gothic" w:eastAsia="Times New Roman" w:hAnsi="Century Gothic" w:cs="Times New Roman"/>
                <w:color w:val="FFFFFF"/>
                <w:sz w:val="16"/>
                <w:szCs w:val="16"/>
                <w:lang w:val="en-US"/>
              </w:rPr>
              <w:t>IIO</w:t>
            </w:r>
          </w:p>
        </w:tc>
        <w:tc>
          <w:tcPr>
            <w:tcW w:w="1280" w:type="dxa"/>
            <w:shd w:val="clear" w:color="auto" w:fill="1F4E79" w:themeFill="accent1" w:themeFillShade="80"/>
            <w:vAlign w:val="center"/>
            <w:hideMark/>
          </w:tcPr>
          <w:p w14:paraId="7B05E80F" w14:textId="77777777" w:rsidR="006D6A5D" w:rsidRPr="00296E53" w:rsidRDefault="006D6A5D" w:rsidP="0056136C">
            <w:pPr>
              <w:spacing w:after="0" w:line="240" w:lineRule="auto"/>
              <w:jc w:val="center"/>
              <w:rPr>
                <w:rFonts w:ascii="Century Gothic" w:eastAsia="Times New Roman" w:hAnsi="Century Gothic" w:cs="Times New Roman"/>
                <w:color w:val="FFFFFF"/>
                <w:sz w:val="16"/>
                <w:szCs w:val="16"/>
                <w:lang w:val="en-US"/>
              </w:rPr>
            </w:pPr>
            <w:proofErr w:type="spellStart"/>
            <w:r w:rsidRPr="00296E53">
              <w:rPr>
                <w:rFonts w:ascii="Century Gothic" w:eastAsia="Times New Roman" w:hAnsi="Century Gothic" w:cs="Times New Roman"/>
                <w:color w:val="FFFFFF"/>
                <w:sz w:val="16"/>
                <w:szCs w:val="16"/>
                <w:lang w:val="en-US"/>
              </w:rPr>
              <w:t>Desviación</w:t>
            </w:r>
            <w:proofErr w:type="spellEnd"/>
            <w:r w:rsidRPr="00296E53">
              <w:rPr>
                <w:rFonts w:ascii="Century Gothic" w:eastAsia="Times New Roman" w:hAnsi="Century Gothic" w:cs="Times New Roman"/>
                <w:color w:val="FFFFFF"/>
                <w:sz w:val="16"/>
                <w:szCs w:val="16"/>
                <w:lang w:val="en-US"/>
              </w:rPr>
              <w:t xml:space="preserve"> </w:t>
            </w:r>
            <w:proofErr w:type="spellStart"/>
            <w:r w:rsidRPr="00296E53">
              <w:rPr>
                <w:rFonts w:ascii="Century Gothic" w:eastAsia="Times New Roman" w:hAnsi="Century Gothic" w:cs="Times New Roman"/>
                <w:color w:val="FFFFFF"/>
                <w:sz w:val="16"/>
                <w:szCs w:val="16"/>
                <w:lang w:val="en-US"/>
              </w:rPr>
              <w:t>estándar</w:t>
            </w:r>
            <w:proofErr w:type="spellEnd"/>
          </w:p>
        </w:tc>
        <w:tc>
          <w:tcPr>
            <w:tcW w:w="4775" w:type="dxa"/>
            <w:shd w:val="clear" w:color="auto" w:fill="1F4E79" w:themeFill="accent1" w:themeFillShade="80"/>
            <w:vAlign w:val="center"/>
            <w:hideMark/>
          </w:tcPr>
          <w:p w14:paraId="2CA4790B" w14:textId="740BDC57" w:rsidR="006D6A5D" w:rsidRPr="00296E53" w:rsidRDefault="00127687" w:rsidP="00127687">
            <w:pPr>
              <w:spacing w:after="0" w:line="240" w:lineRule="auto"/>
              <w:rPr>
                <w:rFonts w:ascii="Century Gothic" w:eastAsia="Times New Roman" w:hAnsi="Century Gothic" w:cs="Times New Roman"/>
                <w:color w:val="FFFFFF"/>
                <w:sz w:val="16"/>
                <w:szCs w:val="16"/>
              </w:rPr>
            </w:pPr>
            <w:r w:rsidRPr="00296E53">
              <w:rPr>
                <w:rFonts w:ascii="Century Gothic" w:eastAsia="Times New Roman" w:hAnsi="Century Gothic" w:cs="Times New Roman"/>
                <w:color w:val="FFFFFF"/>
                <w:sz w:val="16"/>
                <w:szCs w:val="16"/>
              </w:rPr>
              <w:t xml:space="preserve">Porcentaje de </w:t>
            </w:r>
            <w:r w:rsidR="007F6AF1" w:rsidRPr="00296E53">
              <w:rPr>
                <w:rFonts w:ascii="Century Gothic" w:eastAsia="Times New Roman" w:hAnsi="Century Gothic" w:cs="Times New Roman"/>
                <w:color w:val="FFFFFF"/>
                <w:sz w:val="16"/>
                <w:szCs w:val="16"/>
              </w:rPr>
              <w:t>p</w:t>
            </w:r>
            <w:r w:rsidRPr="00296E53">
              <w:rPr>
                <w:rFonts w:ascii="Century Gothic" w:eastAsia="Times New Roman" w:hAnsi="Century Gothic" w:cs="Times New Roman"/>
                <w:color w:val="FFFFFF"/>
                <w:sz w:val="16"/>
                <w:szCs w:val="16"/>
              </w:rPr>
              <w:t xml:space="preserve">roductos de información que cumplieron con el parámetro de oportunidad definido </w:t>
            </w:r>
          </w:p>
        </w:tc>
      </w:tr>
      <w:tr w:rsidR="006D6A5D" w:rsidRPr="00296E53" w14:paraId="03109970" w14:textId="77777777" w:rsidTr="00C349A1">
        <w:trPr>
          <w:trHeight w:val="315"/>
          <w:jc w:val="center"/>
        </w:trPr>
        <w:tc>
          <w:tcPr>
            <w:tcW w:w="820" w:type="dxa"/>
            <w:shd w:val="clear" w:color="auto" w:fill="auto"/>
            <w:vAlign w:val="center"/>
            <w:hideMark/>
          </w:tcPr>
          <w:p w14:paraId="541FB151" w14:textId="77777777" w:rsidR="006D6A5D" w:rsidRPr="00296E53" w:rsidRDefault="006D6A5D" w:rsidP="0056136C">
            <w:pPr>
              <w:spacing w:after="0" w:line="240" w:lineRule="auto"/>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2018</w:t>
            </w:r>
          </w:p>
        </w:tc>
        <w:tc>
          <w:tcPr>
            <w:tcW w:w="1200" w:type="dxa"/>
            <w:shd w:val="clear" w:color="auto" w:fill="auto"/>
            <w:vAlign w:val="center"/>
            <w:hideMark/>
          </w:tcPr>
          <w:p w14:paraId="5EE24252" w14:textId="77777777" w:rsidR="006D6A5D" w:rsidRPr="00296E53" w:rsidRDefault="006D6A5D"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0.031</w:t>
            </w:r>
          </w:p>
        </w:tc>
        <w:tc>
          <w:tcPr>
            <w:tcW w:w="1280" w:type="dxa"/>
            <w:shd w:val="clear" w:color="auto" w:fill="auto"/>
            <w:vAlign w:val="center"/>
            <w:hideMark/>
          </w:tcPr>
          <w:p w14:paraId="29173216" w14:textId="77777777" w:rsidR="006D6A5D" w:rsidRPr="00296E53" w:rsidRDefault="006D6A5D"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0.5</w:t>
            </w:r>
          </w:p>
        </w:tc>
        <w:tc>
          <w:tcPr>
            <w:tcW w:w="4775" w:type="dxa"/>
            <w:shd w:val="clear" w:color="auto" w:fill="auto"/>
            <w:vAlign w:val="center"/>
          </w:tcPr>
          <w:p w14:paraId="79E937DA" w14:textId="77777777" w:rsidR="006D6A5D" w:rsidRPr="00296E53" w:rsidRDefault="00513067"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72%</w:t>
            </w:r>
          </w:p>
        </w:tc>
      </w:tr>
      <w:tr w:rsidR="006D6A5D" w:rsidRPr="00296E53" w14:paraId="4BE45DDE" w14:textId="77777777" w:rsidTr="00C349A1">
        <w:trPr>
          <w:trHeight w:val="315"/>
          <w:jc w:val="center"/>
        </w:trPr>
        <w:tc>
          <w:tcPr>
            <w:tcW w:w="820" w:type="dxa"/>
            <w:shd w:val="clear" w:color="auto" w:fill="auto"/>
            <w:vAlign w:val="center"/>
            <w:hideMark/>
          </w:tcPr>
          <w:p w14:paraId="2EDB1F40" w14:textId="77777777" w:rsidR="006D6A5D" w:rsidRPr="00296E53" w:rsidRDefault="006D6A5D" w:rsidP="0056136C">
            <w:pPr>
              <w:spacing w:after="0" w:line="240" w:lineRule="auto"/>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2019</w:t>
            </w:r>
          </w:p>
        </w:tc>
        <w:tc>
          <w:tcPr>
            <w:tcW w:w="1200" w:type="dxa"/>
            <w:shd w:val="clear" w:color="auto" w:fill="auto"/>
            <w:vAlign w:val="center"/>
            <w:hideMark/>
          </w:tcPr>
          <w:p w14:paraId="274AB19F" w14:textId="77777777" w:rsidR="006D6A5D" w:rsidRPr="00296E53" w:rsidRDefault="006D6A5D"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0.078</w:t>
            </w:r>
          </w:p>
        </w:tc>
        <w:tc>
          <w:tcPr>
            <w:tcW w:w="1280" w:type="dxa"/>
            <w:shd w:val="clear" w:color="auto" w:fill="auto"/>
            <w:vAlign w:val="center"/>
            <w:hideMark/>
          </w:tcPr>
          <w:p w14:paraId="778CE34C" w14:textId="77777777" w:rsidR="006D6A5D" w:rsidRPr="00296E53" w:rsidRDefault="006D6A5D"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0.3</w:t>
            </w:r>
          </w:p>
        </w:tc>
        <w:tc>
          <w:tcPr>
            <w:tcW w:w="4775" w:type="dxa"/>
            <w:shd w:val="clear" w:color="auto" w:fill="auto"/>
            <w:vAlign w:val="center"/>
          </w:tcPr>
          <w:p w14:paraId="72F8BFD6" w14:textId="77777777" w:rsidR="006D6A5D" w:rsidRPr="00296E53" w:rsidRDefault="00127687"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70%</w:t>
            </w:r>
          </w:p>
        </w:tc>
      </w:tr>
      <w:tr w:rsidR="006D6A5D" w:rsidRPr="00296E53" w14:paraId="3FD2493B" w14:textId="77777777" w:rsidTr="00C349A1">
        <w:trPr>
          <w:trHeight w:val="315"/>
          <w:jc w:val="center"/>
        </w:trPr>
        <w:tc>
          <w:tcPr>
            <w:tcW w:w="820" w:type="dxa"/>
            <w:shd w:val="clear" w:color="auto" w:fill="auto"/>
            <w:vAlign w:val="center"/>
            <w:hideMark/>
          </w:tcPr>
          <w:p w14:paraId="12F1E17F" w14:textId="77777777" w:rsidR="006D6A5D" w:rsidRPr="00296E53" w:rsidRDefault="006D6A5D" w:rsidP="0056136C">
            <w:pPr>
              <w:spacing w:after="0" w:line="240" w:lineRule="auto"/>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2020</w:t>
            </w:r>
          </w:p>
        </w:tc>
        <w:tc>
          <w:tcPr>
            <w:tcW w:w="1200" w:type="dxa"/>
            <w:shd w:val="clear" w:color="auto" w:fill="auto"/>
            <w:vAlign w:val="center"/>
            <w:hideMark/>
          </w:tcPr>
          <w:p w14:paraId="6464826D" w14:textId="165F33E5" w:rsidR="006D6A5D" w:rsidRPr="00296E53" w:rsidRDefault="006D6A5D"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0.</w:t>
            </w:r>
            <w:r w:rsidR="00B4548C">
              <w:rPr>
                <w:rFonts w:ascii="Century Gothic" w:eastAsia="Times New Roman" w:hAnsi="Century Gothic" w:cs="Times New Roman"/>
                <w:color w:val="000000"/>
                <w:sz w:val="16"/>
                <w:szCs w:val="16"/>
                <w:lang w:val="en-US"/>
              </w:rPr>
              <w:t>103</w:t>
            </w:r>
          </w:p>
        </w:tc>
        <w:tc>
          <w:tcPr>
            <w:tcW w:w="1280" w:type="dxa"/>
            <w:shd w:val="clear" w:color="auto" w:fill="auto"/>
            <w:vAlign w:val="center"/>
            <w:hideMark/>
          </w:tcPr>
          <w:p w14:paraId="7EEC7FC3" w14:textId="4E6D1110" w:rsidR="006D6A5D" w:rsidRPr="00296E53" w:rsidRDefault="006D6A5D"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0.</w:t>
            </w:r>
            <w:r w:rsidR="007D5DBA" w:rsidRPr="00296E53">
              <w:rPr>
                <w:rFonts w:ascii="Century Gothic" w:eastAsia="Times New Roman" w:hAnsi="Century Gothic" w:cs="Times New Roman"/>
                <w:color w:val="000000"/>
                <w:sz w:val="16"/>
                <w:szCs w:val="16"/>
                <w:lang w:val="en-US"/>
              </w:rPr>
              <w:t>4</w:t>
            </w:r>
          </w:p>
        </w:tc>
        <w:tc>
          <w:tcPr>
            <w:tcW w:w="4775" w:type="dxa"/>
            <w:shd w:val="clear" w:color="auto" w:fill="auto"/>
            <w:vAlign w:val="center"/>
          </w:tcPr>
          <w:p w14:paraId="51EE58D2" w14:textId="5F18CFAF" w:rsidR="006D6A5D" w:rsidRPr="00296E53" w:rsidRDefault="00127687"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6</w:t>
            </w:r>
            <w:r w:rsidR="00B4548C">
              <w:rPr>
                <w:rFonts w:ascii="Century Gothic" w:eastAsia="Times New Roman" w:hAnsi="Century Gothic" w:cs="Times New Roman"/>
                <w:color w:val="000000"/>
                <w:sz w:val="16"/>
                <w:szCs w:val="16"/>
                <w:lang w:val="en-US"/>
              </w:rPr>
              <w:t>4</w:t>
            </w:r>
            <w:r w:rsidRPr="00296E53">
              <w:rPr>
                <w:rFonts w:ascii="Century Gothic" w:eastAsia="Times New Roman" w:hAnsi="Century Gothic" w:cs="Times New Roman"/>
                <w:color w:val="000000"/>
                <w:sz w:val="16"/>
                <w:szCs w:val="16"/>
                <w:lang w:val="en-US"/>
              </w:rPr>
              <w:t>%</w:t>
            </w:r>
          </w:p>
        </w:tc>
      </w:tr>
    </w:tbl>
    <w:bookmarkEnd w:id="14"/>
    <w:p w14:paraId="01502737" w14:textId="77777777" w:rsidR="00C56093" w:rsidRPr="00296E53" w:rsidRDefault="00C56093" w:rsidP="00C56093">
      <w:pPr>
        <w:spacing w:before="240"/>
        <w:jc w:val="both"/>
        <w:rPr>
          <w:rFonts w:ascii="Century Gothic" w:hAnsi="Century Gothic"/>
          <w:b/>
          <w:sz w:val="19"/>
          <w:szCs w:val="19"/>
        </w:rPr>
      </w:pPr>
      <w:r w:rsidRPr="00296E53">
        <w:rPr>
          <w:rFonts w:ascii="Century Gothic" w:hAnsi="Century Gothic"/>
          <w:b/>
          <w:sz w:val="19"/>
          <w:szCs w:val="19"/>
        </w:rPr>
        <w:t>CONCLUSIONES</w:t>
      </w:r>
    </w:p>
    <w:p w14:paraId="7AFD2718" w14:textId="77777777" w:rsidR="00C56093" w:rsidRPr="00296E53" w:rsidRDefault="00C56093" w:rsidP="00C56093">
      <w:pPr>
        <w:pStyle w:val="Prrafodelista"/>
        <w:numPr>
          <w:ilvl w:val="0"/>
          <w:numId w:val="13"/>
        </w:numPr>
        <w:spacing w:before="240"/>
        <w:jc w:val="both"/>
        <w:rPr>
          <w:rFonts w:ascii="Century Gothic" w:hAnsi="Century Gothic"/>
          <w:sz w:val="19"/>
          <w:szCs w:val="19"/>
        </w:rPr>
      </w:pPr>
      <w:r w:rsidRPr="00296E53">
        <w:rPr>
          <w:rFonts w:ascii="Century Gothic" w:hAnsi="Century Gothic"/>
          <w:sz w:val="19"/>
          <w:szCs w:val="19"/>
        </w:rPr>
        <w:t>Para el año de estudio, el Indicador Institucional de Oportunidad (IIO) fue de 0.08 puntos, considerando sólo los productos difundidos en 2020. El IIO para el total de productos registrados en la matriz de apoyo al 2019 fue de 0.078 puntos, lo que se mantuvieron los resultados del año anterior.</w:t>
      </w:r>
    </w:p>
    <w:p w14:paraId="5CD1B3D0" w14:textId="77777777" w:rsidR="00C56093" w:rsidRPr="00296E53" w:rsidRDefault="00C56093" w:rsidP="00C56093">
      <w:pPr>
        <w:pStyle w:val="Prrafodelista"/>
        <w:numPr>
          <w:ilvl w:val="0"/>
          <w:numId w:val="13"/>
        </w:numPr>
        <w:spacing w:before="120"/>
        <w:jc w:val="both"/>
        <w:rPr>
          <w:rFonts w:ascii="Century Gothic" w:hAnsi="Century Gothic"/>
          <w:sz w:val="19"/>
          <w:szCs w:val="19"/>
        </w:rPr>
      </w:pPr>
      <w:r w:rsidRPr="00296E53">
        <w:rPr>
          <w:rFonts w:ascii="Century Gothic" w:hAnsi="Century Gothic"/>
          <w:sz w:val="19"/>
          <w:szCs w:val="19"/>
        </w:rPr>
        <w:t>La dispersión asociada al resultado de IDO 2020 es aumento en la desviación estándar a 0.45, en 2019 se alcanzó 0.3 puntos, esto significa que el IDO del conjunto de productos se alejó al valor promedio por lo que es necesario realizar una actualización de parámetros.</w:t>
      </w:r>
    </w:p>
    <w:p w14:paraId="73EC0DBF" w14:textId="798A7DF2" w:rsidR="00F91016" w:rsidRDefault="00682415" w:rsidP="00682415">
      <w:pPr>
        <w:spacing w:before="240"/>
        <w:ind w:left="360"/>
        <w:jc w:val="center"/>
        <w:rPr>
          <w:rFonts w:ascii="Century Gothic" w:hAnsi="Century Gothic"/>
          <w:b/>
          <w:sz w:val="19"/>
          <w:szCs w:val="19"/>
        </w:rPr>
      </w:pPr>
      <w:r w:rsidRPr="00296E53">
        <w:rPr>
          <w:rFonts w:ascii="Century Gothic" w:hAnsi="Century Gothic"/>
          <w:b/>
          <w:sz w:val="19"/>
          <w:szCs w:val="19"/>
        </w:rPr>
        <w:t>A.2.</w:t>
      </w:r>
      <w:r w:rsidR="00721C42" w:rsidRPr="00296E53">
        <w:rPr>
          <w:rFonts w:ascii="Century Gothic" w:hAnsi="Century Gothic"/>
          <w:b/>
          <w:sz w:val="19"/>
          <w:szCs w:val="19"/>
        </w:rPr>
        <w:t>5</w:t>
      </w:r>
      <w:r w:rsidRPr="00296E53">
        <w:rPr>
          <w:rFonts w:ascii="Century Gothic" w:hAnsi="Century Gothic"/>
          <w:b/>
          <w:sz w:val="19"/>
          <w:szCs w:val="19"/>
        </w:rPr>
        <w:t xml:space="preserve"> Matriz de Parámetros de Oportunidad 2020</w:t>
      </w:r>
    </w:p>
    <w:tbl>
      <w:tblPr>
        <w:tblW w:w="14449" w:type="dxa"/>
        <w:tblLook w:val="04A0" w:firstRow="1" w:lastRow="0" w:firstColumn="1" w:lastColumn="0" w:noHBand="0" w:noVBand="1"/>
      </w:tblPr>
      <w:tblGrid>
        <w:gridCol w:w="3676"/>
        <w:gridCol w:w="3544"/>
        <w:gridCol w:w="1701"/>
        <w:gridCol w:w="1442"/>
        <w:gridCol w:w="1276"/>
        <w:gridCol w:w="1959"/>
        <w:gridCol w:w="851"/>
      </w:tblGrid>
      <w:tr w:rsidR="00D90F01" w:rsidRPr="00D90F01" w14:paraId="5BBE984D" w14:textId="77777777" w:rsidTr="00D90F01">
        <w:trPr>
          <w:trHeight w:val="20"/>
          <w:tblHeader/>
        </w:trPr>
        <w:tc>
          <w:tcPr>
            <w:tcW w:w="3676" w:type="dxa"/>
            <w:tcBorders>
              <w:top w:val="single" w:sz="8" w:space="0" w:color="BFBFBF"/>
              <w:left w:val="single" w:sz="8" w:space="0" w:color="BFBFBF"/>
              <w:bottom w:val="single" w:sz="8" w:space="0" w:color="BFBFBF"/>
              <w:right w:val="single" w:sz="8" w:space="0" w:color="BFBFBF"/>
            </w:tcBorders>
            <w:shd w:val="clear" w:color="000000" w:fill="1F4E79"/>
            <w:vAlign w:val="center"/>
            <w:hideMark/>
          </w:tcPr>
          <w:p w14:paraId="4076F67E" w14:textId="77777777" w:rsidR="00D90F01" w:rsidRPr="00D90F01" w:rsidRDefault="00D90F01" w:rsidP="00D90F01">
            <w:pPr>
              <w:spacing w:after="0" w:line="240" w:lineRule="auto"/>
              <w:rPr>
                <w:rFonts w:ascii="Century Gothic" w:eastAsia="Times New Roman" w:hAnsi="Century Gothic" w:cs="Calibri"/>
                <w:color w:val="FFFFFF"/>
                <w:sz w:val="17"/>
                <w:szCs w:val="17"/>
                <w:lang w:val="en-US"/>
              </w:rPr>
            </w:pPr>
            <w:r w:rsidRPr="00D90F01">
              <w:rPr>
                <w:rFonts w:ascii="Century Gothic" w:eastAsia="Times New Roman" w:hAnsi="Century Gothic" w:cs="Calibri"/>
                <w:color w:val="FFFFFF"/>
                <w:sz w:val="17"/>
                <w:szCs w:val="17"/>
                <w:lang w:val="en-US"/>
              </w:rPr>
              <w:t>NOMBRE DEL PROGRAMA</w:t>
            </w:r>
          </w:p>
        </w:tc>
        <w:tc>
          <w:tcPr>
            <w:tcW w:w="3544" w:type="dxa"/>
            <w:tcBorders>
              <w:top w:val="single" w:sz="8" w:space="0" w:color="BFBFBF"/>
              <w:left w:val="nil"/>
              <w:bottom w:val="single" w:sz="8" w:space="0" w:color="BFBFBF"/>
              <w:right w:val="single" w:sz="8" w:space="0" w:color="BFBFBF"/>
            </w:tcBorders>
            <w:shd w:val="clear" w:color="000000" w:fill="1F4E79"/>
            <w:vAlign w:val="center"/>
            <w:hideMark/>
          </w:tcPr>
          <w:p w14:paraId="2EDB0529" w14:textId="77777777" w:rsidR="00D90F01" w:rsidRPr="00D90F01" w:rsidRDefault="00D90F01" w:rsidP="00D90F01">
            <w:pPr>
              <w:spacing w:after="0" w:line="240" w:lineRule="auto"/>
              <w:rPr>
                <w:rFonts w:ascii="Century Gothic" w:eastAsia="Times New Roman" w:hAnsi="Century Gothic" w:cs="Calibri"/>
                <w:color w:val="FFFFFF"/>
                <w:sz w:val="17"/>
                <w:szCs w:val="17"/>
                <w:lang w:val="en-US"/>
              </w:rPr>
            </w:pPr>
            <w:r w:rsidRPr="00D90F01">
              <w:rPr>
                <w:rFonts w:ascii="Century Gothic" w:eastAsia="Times New Roman" w:hAnsi="Century Gothic" w:cs="Calibri"/>
                <w:color w:val="FFFFFF"/>
                <w:sz w:val="17"/>
                <w:szCs w:val="17"/>
                <w:lang w:val="en-US"/>
              </w:rPr>
              <w:t>NOMBRE DEL PRODUCTO</w:t>
            </w:r>
          </w:p>
        </w:tc>
        <w:tc>
          <w:tcPr>
            <w:tcW w:w="1701" w:type="dxa"/>
            <w:tcBorders>
              <w:top w:val="single" w:sz="8" w:space="0" w:color="BFBFBF"/>
              <w:left w:val="nil"/>
              <w:bottom w:val="single" w:sz="8" w:space="0" w:color="BFBFBF"/>
              <w:right w:val="single" w:sz="8" w:space="0" w:color="BFBFBF"/>
            </w:tcBorders>
            <w:shd w:val="clear" w:color="000000" w:fill="1F4E79"/>
            <w:vAlign w:val="center"/>
            <w:hideMark/>
          </w:tcPr>
          <w:p w14:paraId="2361B104" w14:textId="77777777" w:rsidR="00D90F01" w:rsidRPr="00D90F01" w:rsidRDefault="00D90F01" w:rsidP="00D90F01">
            <w:pPr>
              <w:spacing w:after="0" w:line="240" w:lineRule="auto"/>
              <w:rPr>
                <w:rFonts w:ascii="Century Gothic" w:eastAsia="Times New Roman" w:hAnsi="Century Gothic" w:cs="Calibri"/>
                <w:color w:val="FFFFFF"/>
                <w:sz w:val="17"/>
                <w:szCs w:val="17"/>
                <w:lang w:val="en-US"/>
              </w:rPr>
            </w:pPr>
            <w:r w:rsidRPr="00D90F01">
              <w:rPr>
                <w:rFonts w:ascii="Century Gothic" w:eastAsia="Times New Roman" w:hAnsi="Century Gothic" w:cs="Calibri"/>
                <w:color w:val="FFFFFF"/>
                <w:sz w:val="17"/>
                <w:szCs w:val="17"/>
                <w:lang w:val="en-US"/>
              </w:rPr>
              <w:t>PERIODICIDAD</w:t>
            </w:r>
          </w:p>
        </w:tc>
        <w:tc>
          <w:tcPr>
            <w:tcW w:w="1442" w:type="dxa"/>
            <w:tcBorders>
              <w:top w:val="single" w:sz="8" w:space="0" w:color="BFBFBF"/>
              <w:left w:val="nil"/>
              <w:bottom w:val="single" w:sz="8" w:space="0" w:color="BFBFBF"/>
              <w:right w:val="single" w:sz="8" w:space="0" w:color="BFBFBF"/>
            </w:tcBorders>
            <w:shd w:val="clear" w:color="000000" w:fill="1F4E79"/>
            <w:vAlign w:val="center"/>
            <w:hideMark/>
          </w:tcPr>
          <w:p w14:paraId="75D0A5FD" w14:textId="77777777" w:rsidR="00D90F01" w:rsidRPr="00D90F01" w:rsidRDefault="00D90F01" w:rsidP="00D90F01">
            <w:pPr>
              <w:spacing w:after="0" w:line="240" w:lineRule="auto"/>
              <w:rPr>
                <w:rFonts w:ascii="Century Gothic" w:eastAsia="Times New Roman" w:hAnsi="Century Gothic" w:cs="Calibri"/>
                <w:color w:val="FFFFFF"/>
                <w:sz w:val="17"/>
                <w:szCs w:val="17"/>
                <w:lang w:val="en-US"/>
              </w:rPr>
            </w:pPr>
            <w:r w:rsidRPr="00D90F01">
              <w:rPr>
                <w:rFonts w:ascii="Century Gothic" w:eastAsia="Times New Roman" w:hAnsi="Century Gothic" w:cs="Calibri"/>
                <w:color w:val="FFFFFF"/>
                <w:sz w:val="17"/>
                <w:szCs w:val="17"/>
                <w:lang w:val="en-US"/>
              </w:rPr>
              <w:t>OPORTUNIDAD 2020 (días)</w:t>
            </w:r>
          </w:p>
        </w:tc>
        <w:tc>
          <w:tcPr>
            <w:tcW w:w="1276" w:type="dxa"/>
            <w:tcBorders>
              <w:top w:val="single" w:sz="8" w:space="0" w:color="BFBFBF"/>
              <w:left w:val="nil"/>
              <w:bottom w:val="single" w:sz="8" w:space="0" w:color="BFBFBF"/>
              <w:right w:val="single" w:sz="8" w:space="0" w:color="BFBFBF"/>
            </w:tcBorders>
            <w:shd w:val="clear" w:color="000000" w:fill="1F4E79"/>
            <w:vAlign w:val="center"/>
            <w:hideMark/>
          </w:tcPr>
          <w:p w14:paraId="607CDC4F" w14:textId="77777777" w:rsidR="00D90F01" w:rsidRPr="00D90F01" w:rsidRDefault="00D90F01" w:rsidP="00D90F01">
            <w:pPr>
              <w:spacing w:after="0" w:line="240" w:lineRule="auto"/>
              <w:jc w:val="center"/>
              <w:rPr>
                <w:rFonts w:ascii="Century Gothic" w:eastAsia="Times New Roman" w:hAnsi="Century Gothic" w:cs="Calibri"/>
                <w:color w:val="FFFFFF"/>
                <w:sz w:val="17"/>
                <w:szCs w:val="17"/>
                <w:lang w:val="en-US"/>
              </w:rPr>
            </w:pPr>
            <w:r w:rsidRPr="00D90F01">
              <w:rPr>
                <w:rFonts w:ascii="Century Gothic" w:eastAsia="Times New Roman" w:hAnsi="Century Gothic" w:cs="Calibri"/>
                <w:color w:val="FFFFFF"/>
                <w:sz w:val="17"/>
                <w:szCs w:val="17"/>
                <w:lang w:val="en-US"/>
              </w:rPr>
              <w:t>PARÁMETRO (días)</w:t>
            </w:r>
          </w:p>
        </w:tc>
        <w:tc>
          <w:tcPr>
            <w:tcW w:w="1959" w:type="dxa"/>
            <w:tcBorders>
              <w:top w:val="single" w:sz="8" w:space="0" w:color="BFBFBF"/>
              <w:left w:val="nil"/>
              <w:bottom w:val="single" w:sz="8" w:space="0" w:color="BFBFBF"/>
              <w:right w:val="single" w:sz="8" w:space="0" w:color="BFBFBF"/>
            </w:tcBorders>
            <w:shd w:val="clear" w:color="000000" w:fill="1F4E79"/>
            <w:vAlign w:val="center"/>
            <w:hideMark/>
          </w:tcPr>
          <w:p w14:paraId="311CB737" w14:textId="77777777" w:rsidR="00D90F01" w:rsidRPr="00D90F01" w:rsidRDefault="00D90F01" w:rsidP="00D90F01">
            <w:pPr>
              <w:spacing w:after="0" w:line="240" w:lineRule="auto"/>
              <w:rPr>
                <w:rFonts w:ascii="Century Gothic" w:eastAsia="Times New Roman" w:hAnsi="Century Gothic" w:cs="Calibri"/>
                <w:color w:val="FFFFFF"/>
                <w:sz w:val="17"/>
                <w:szCs w:val="17"/>
              </w:rPr>
            </w:pPr>
            <w:r w:rsidRPr="00D90F01">
              <w:rPr>
                <w:rFonts w:ascii="Century Gothic" w:eastAsia="Times New Roman" w:hAnsi="Century Gothic" w:cs="Calibri"/>
                <w:color w:val="FFFFFF"/>
                <w:sz w:val="17"/>
                <w:szCs w:val="17"/>
              </w:rPr>
              <w:t>REFERENCIA DEL PARÁMETRO DE OPORTUNIDAD</w:t>
            </w:r>
            <w:r w:rsidRPr="00D90F01">
              <w:rPr>
                <w:rFonts w:ascii="Century Gothic" w:eastAsia="Times New Roman" w:hAnsi="Century Gothic" w:cs="Calibri"/>
                <w:color w:val="FFFFFF"/>
                <w:sz w:val="17"/>
                <w:szCs w:val="17"/>
                <w:vertAlign w:val="superscript"/>
              </w:rPr>
              <w:t xml:space="preserve"> 8/</w:t>
            </w:r>
          </w:p>
        </w:tc>
        <w:tc>
          <w:tcPr>
            <w:tcW w:w="851" w:type="dxa"/>
            <w:tcBorders>
              <w:top w:val="single" w:sz="8" w:space="0" w:color="BFBFBF"/>
              <w:left w:val="nil"/>
              <w:bottom w:val="single" w:sz="8" w:space="0" w:color="BFBFBF"/>
              <w:right w:val="single" w:sz="8" w:space="0" w:color="BFBFBF"/>
            </w:tcBorders>
            <w:shd w:val="clear" w:color="000000" w:fill="1F4E79"/>
            <w:vAlign w:val="center"/>
            <w:hideMark/>
          </w:tcPr>
          <w:p w14:paraId="35AD7DC4" w14:textId="77777777" w:rsidR="00D90F01" w:rsidRPr="00D90F01" w:rsidRDefault="00D90F01" w:rsidP="00D90F01">
            <w:pPr>
              <w:spacing w:after="0" w:line="240" w:lineRule="auto"/>
              <w:rPr>
                <w:rFonts w:ascii="Century Gothic" w:eastAsia="Times New Roman" w:hAnsi="Century Gothic" w:cs="Calibri"/>
                <w:color w:val="FFFFFF"/>
                <w:sz w:val="17"/>
                <w:szCs w:val="17"/>
                <w:lang w:val="en-US"/>
              </w:rPr>
            </w:pPr>
            <w:r w:rsidRPr="00D90F01">
              <w:rPr>
                <w:rFonts w:ascii="Century Gothic" w:eastAsia="Times New Roman" w:hAnsi="Century Gothic" w:cs="Calibri"/>
                <w:color w:val="FFFFFF"/>
                <w:sz w:val="17"/>
                <w:szCs w:val="17"/>
                <w:lang w:val="en-US"/>
              </w:rPr>
              <w:t>IDO</w:t>
            </w:r>
          </w:p>
        </w:tc>
      </w:tr>
      <w:tr w:rsidR="00D90F01" w:rsidRPr="00D90F01" w14:paraId="489A93E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9E5A27B"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Victimización de Empresas</w:t>
            </w:r>
          </w:p>
        </w:tc>
        <w:tc>
          <w:tcPr>
            <w:tcW w:w="3544" w:type="dxa"/>
            <w:tcBorders>
              <w:top w:val="nil"/>
              <w:left w:val="nil"/>
              <w:bottom w:val="single" w:sz="8" w:space="0" w:color="BFBFBF"/>
              <w:right w:val="single" w:sz="8" w:space="0" w:color="BFBFBF"/>
            </w:tcBorders>
            <w:shd w:val="clear" w:color="000000" w:fill="DEEAF6"/>
            <w:vAlign w:val="center"/>
            <w:hideMark/>
          </w:tcPr>
          <w:p w14:paraId="399720B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Victimización de Empresas (ENVE)</w:t>
            </w:r>
          </w:p>
        </w:tc>
        <w:tc>
          <w:tcPr>
            <w:tcW w:w="1701" w:type="dxa"/>
            <w:tcBorders>
              <w:top w:val="nil"/>
              <w:left w:val="nil"/>
              <w:bottom w:val="single" w:sz="8" w:space="0" w:color="BFBFBF"/>
              <w:right w:val="single" w:sz="8" w:space="0" w:color="BFBFBF"/>
            </w:tcBorders>
            <w:shd w:val="clear" w:color="000000" w:fill="DEEAF6"/>
            <w:noWrap/>
            <w:vAlign w:val="center"/>
            <w:hideMark/>
          </w:tcPr>
          <w:p w14:paraId="75CF437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Bienal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2B5BA8B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345</w:t>
            </w:r>
          </w:p>
        </w:tc>
        <w:tc>
          <w:tcPr>
            <w:tcW w:w="1276" w:type="dxa"/>
            <w:tcBorders>
              <w:top w:val="nil"/>
              <w:left w:val="nil"/>
              <w:bottom w:val="single" w:sz="8" w:space="0" w:color="BFBFBF"/>
              <w:right w:val="single" w:sz="8" w:space="0" w:color="BFBFBF"/>
            </w:tcBorders>
            <w:shd w:val="clear" w:color="000000" w:fill="DEEAF6"/>
            <w:vAlign w:val="center"/>
            <w:hideMark/>
          </w:tcPr>
          <w:p w14:paraId="7664136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154</w:t>
            </w:r>
          </w:p>
        </w:tc>
        <w:tc>
          <w:tcPr>
            <w:tcW w:w="1959" w:type="dxa"/>
            <w:tcBorders>
              <w:top w:val="nil"/>
              <w:left w:val="nil"/>
              <w:bottom w:val="single" w:sz="8" w:space="0" w:color="BFBFBF"/>
              <w:right w:val="single" w:sz="8" w:space="0" w:color="BFBFBF"/>
            </w:tcBorders>
            <w:shd w:val="clear" w:color="000000" w:fill="DEEAF6"/>
            <w:vAlign w:val="center"/>
            <w:hideMark/>
          </w:tcPr>
          <w:p w14:paraId="784A171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4D65773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-1.240</w:t>
            </w:r>
          </w:p>
        </w:tc>
      </w:tr>
      <w:tr w:rsidR="00D90F01" w:rsidRPr="00D90F01" w14:paraId="2A641889"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D28DD7B"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Marco de referencia geodésico</w:t>
            </w:r>
          </w:p>
        </w:tc>
        <w:tc>
          <w:tcPr>
            <w:tcW w:w="3544" w:type="dxa"/>
            <w:tcBorders>
              <w:top w:val="nil"/>
              <w:left w:val="nil"/>
              <w:bottom w:val="single" w:sz="8" w:space="0" w:color="BFBFBF"/>
              <w:right w:val="single" w:sz="8" w:space="0" w:color="BFBFBF"/>
            </w:tcBorders>
            <w:shd w:val="clear" w:color="000000" w:fill="DEEAF6"/>
            <w:vAlign w:val="center"/>
            <w:hideMark/>
          </w:tcPr>
          <w:p w14:paraId="53C5AC5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Estaciones de la Red Geodésica Nacional Pasiva.</w:t>
            </w:r>
          </w:p>
        </w:tc>
        <w:tc>
          <w:tcPr>
            <w:tcW w:w="1701" w:type="dxa"/>
            <w:tcBorders>
              <w:top w:val="nil"/>
              <w:left w:val="nil"/>
              <w:bottom w:val="single" w:sz="8" w:space="0" w:color="BFBFBF"/>
              <w:right w:val="single" w:sz="8" w:space="0" w:color="BFBFBF"/>
            </w:tcBorders>
            <w:shd w:val="clear" w:color="000000" w:fill="DEEAF6"/>
            <w:noWrap/>
            <w:vAlign w:val="center"/>
            <w:hideMark/>
          </w:tcPr>
          <w:p w14:paraId="6171A52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Quincenal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5FD8B1D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14.75</w:t>
            </w:r>
          </w:p>
        </w:tc>
        <w:tc>
          <w:tcPr>
            <w:tcW w:w="1276" w:type="dxa"/>
            <w:tcBorders>
              <w:top w:val="nil"/>
              <w:left w:val="nil"/>
              <w:bottom w:val="single" w:sz="8" w:space="0" w:color="BFBFBF"/>
              <w:right w:val="single" w:sz="8" w:space="0" w:color="BFBFBF"/>
            </w:tcBorders>
            <w:shd w:val="clear" w:color="000000" w:fill="DEEAF6"/>
            <w:noWrap/>
            <w:vAlign w:val="center"/>
            <w:hideMark/>
          </w:tcPr>
          <w:p w14:paraId="172A55B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7</w:t>
            </w:r>
          </w:p>
        </w:tc>
        <w:tc>
          <w:tcPr>
            <w:tcW w:w="1959" w:type="dxa"/>
            <w:tcBorders>
              <w:top w:val="nil"/>
              <w:left w:val="nil"/>
              <w:bottom w:val="single" w:sz="8" w:space="0" w:color="BFBFBF"/>
              <w:right w:val="single" w:sz="8" w:space="0" w:color="BFBFBF"/>
            </w:tcBorders>
            <w:shd w:val="clear" w:color="000000" w:fill="DEEAF6"/>
            <w:vAlign w:val="center"/>
            <w:hideMark/>
          </w:tcPr>
          <w:p w14:paraId="4E26856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36D87DE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-1.107</w:t>
            </w:r>
          </w:p>
        </w:tc>
      </w:tr>
      <w:tr w:rsidR="00D90F01" w:rsidRPr="00D90F01" w14:paraId="29E3C2B8"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5D0E0A06"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Ocupación y Empleo</w:t>
            </w:r>
          </w:p>
        </w:tc>
        <w:tc>
          <w:tcPr>
            <w:tcW w:w="3544" w:type="dxa"/>
            <w:tcBorders>
              <w:top w:val="nil"/>
              <w:left w:val="nil"/>
              <w:bottom w:val="single" w:sz="8" w:space="0" w:color="BFBFBF"/>
              <w:right w:val="single" w:sz="8" w:space="0" w:color="BFBFBF"/>
            </w:tcBorders>
            <w:shd w:val="clear" w:color="000000" w:fill="DEEAF6"/>
            <w:vAlign w:val="center"/>
            <w:hideMark/>
          </w:tcPr>
          <w:p w14:paraId="7EA3623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Ocupación y Empleo</w:t>
            </w:r>
          </w:p>
        </w:tc>
        <w:tc>
          <w:tcPr>
            <w:tcW w:w="1701" w:type="dxa"/>
            <w:tcBorders>
              <w:top w:val="nil"/>
              <w:left w:val="nil"/>
              <w:bottom w:val="single" w:sz="8" w:space="0" w:color="BFBFBF"/>
              <w:right w:val="single" w:sz="8" w:space="0" w:color="BFBFBF"/>
            </w:tcBorders>
            <w:shd w:val="clear" w:color="000000" w:fill="DEEAF6"/>
            <w:noWrap/>
            <w:vAlign w:val="center"/>
            <w:hideMark/>
          </w:tcPr>
          <w:p w14:paraId="5CFCCB1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DEEAF6"/>
            <w:vAlign w:val="center"/>
            <w:hideMark/>
          </w:tcPr>
          <w:p w14:paraId="6908718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47</w:t>
            </w:r>
          </w:p>
        </w:tc>
        <w:tc>
          <w:tcPr>
            <w:tcW w:w="1276" w:type="dxa"/>
            <w:tcBorders>
              <w:top w:val="nil"/>
              <w:left w:val="nil"/>
              <w:bottom w:val="single" w:sz="8" w:space="0" w:color="BFBFBF"/>
              <w:right w:val="single" w:sz="8" w:space="0" w:color="BFBFBF"/>
            </w:tcBorders>
            <w:shd w:val="clear" w:color="000000" w:fill="DEEAF6"/>
            <w:vAlign w:val="center"/>
            <w:hideMark/>
          </w:tcPr>
          <w:p w14:paraId="03F8DE2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25</w:t>
            </w:r>
          </w:p>
        </w:tc>
        <w:tc>
          <w:tcPr>
            <w:tcW w:w="1959" w:type="dxa"/>
            <w:tcBorders>
              <w:top w:val="nil"/>
              <w:left w:val="nil"/>
              <w:bottom w:val="single" w:sz="8" w:space="0" w:color="BFBFBF"/>
              <w:right w:val="single" w:sz="8" w:space="0" w:color="BFBFBF"/>
            </w:tcBorders>
            <w:shd w:val="clear" w:color="000000" w:fill="DEEAF6"/>
            <w:vAlign w:val="center"/>
            <w:hideMark/>
          </w:tcPr>
          <w:p w14:paraId="7D7047C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577E788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-0.880</w:t>
            </w:r>
          </w:p>
        </w:tc>
      </w:tr>
      <w:tr w:rsidR="00D90F01" w:rsidRPr="00D90F01" w14:paraId="619AA8E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21B1CC3C"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sobre Confianza del Consumidor</w:t>
            </w:r>
          </w:p>
        </w:tc>
        <w:tc>
          <w:tcPr>
            <w:tcW w:w="3544" w:type="dxa"/>
            <w:tcBorders>
              <w:top w:val="nil"/>
              <w:left w:val="nil"/>
              <w:bottom w:val="single" w:sz="8" w:space="0" w:color="BFBFBF"/>
              <w:right w:val="single" w:sz="8" w:space="0" w:color="BFBFBF"/>
            </w:tcBorders>
            <w:shd w:val="clear" w:color="000000" w:fill="DEEAF6"/>
            <w:vAlign w:val="center"/>
            <w:hideMark/>
          </w:tcPr>
          <w:p w14:paraId="3CF4E6E6"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Confianza</w:t>
            </w:r>
            <w:proofErr w:type="spellEnd"/>
            <w:r w:rsidRPr="00D90F01">
              <w:rPr>
                <w:rFonts w:ascii="Century Gothic" w:eastAsia="Times New Roman" w:hAnsi="Century Gothic" w:cs="Calibri"/>
                <w:color w:val="000000"/>
                <w:sz w:val="17"/>
                <w:szCs w:val="17"/>
                <w:lang w:val="en-US"/>
              </w:rPr>
              <w:t xml:space="preserve"> del </w:t>
            </w:r>
            <w:proofErr w:type="spellStart"/>
            <w:r w:rsidRPr="00D90F01">
              <w:rPr>
                <w:rFonts w:ascii="Century Gothic" w:eastAsia="Times New Roman" w:hAnsi="Century Gothic" w:cs="Calibri"/>
                <w:color w:val="000000"/>
                <w:sz w:val="17"/>
                <w:szCs w:val="17"/>
                <w:lang w:val="en-US"/>
              </w:rPr>
              <w:t>Consumidor</w:t>
            </w:r>
            <w:proofErr w:type="spellEnd"/>
          </w:p>
        </w:tc>
        <w:tc>
          <w:tcPr>
            <w:tcW w:w="1701" w:type="dxa"/>
            <w:tcBorders>
              <w:top w:val="nil"/>
              <w:left w:val="nil"/>
              <w:bottom w:val="single" w:sz="8" w:space="0" w:color="BFBFBF"/>
              <w:right w:val="single" w:sz="8" w:space="0" w:color="BFBFBF"/>
            </w:tcBorders>
            <w:shd w:val="clear" w:color="000000" w:fill="DEEAF6"/>
            <w:noWrap/>
            <w:vAlign w:val="center"/>
            <w:hideMark/>
          </w:tcPr>
          <w:p w14:paraId="1A4ADBE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44E1DD7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5.5</w:t>
            </w:r>
          </w:p>
        </w:tc>
        <w:tc>
          <w:tcPr>
            <w:tcW w:w="1276" w:type="dxa"/>
            <w:tcBorders>
              <w:top w:val="nil"/>
              <w:left w:val="nil"/>
              <w:bottom w:val="single" w:sz="8" w:space="0" w:color="BFBFBF"/>
              <w:right w:val="single" w:sz="8" w:space="0" w:color="BFBFBF"/>
            </w:tcBorders>
            <w:shd w:val="clear" w:color="000000" w:fill="DEEAF6"/>
            <w:vAlign w:val="center"/>
            <w:hideMark/>
          </w:tcPr>
          <w:p w14:paraId="27F9135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w:t>
            </w:r>
          </w:p>
        </w:tc>
        <w:tc>
          <w:tcPr>
            <w:tcW w:w="1959" w:type="dxa"/>
            <w:tcBorders>
              <w:top w:val="nil"/>
              <w:left w:val="nil"/>
              <w:bottom w:val="single" w:sz="8" w:space="0" w:color="BFBFBF"/>
              <w:right w:val="single" w:sz="8" w:space="0" w:color="BFBFBF"/>
            </w:tcBorders>
            <w:shd w:val="clear" w:color="000000" w:fill="DEEAF6"/>
            <w:vAlign w:val="center"/>
            <w:hideMark/>
          </w:tcPr>
          <w:p w14:paraId="1966C70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16EEC8D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-0.833</w:t>
            </w:r>
          </w:p>
        </w:tc>
      </w:tr>
      <w:tr w:rsidR="00D90F01" w:rsidRPr="00D90F01" w14:paraId="5EA9DE5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54EA1DA"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Marco </w:t>
            </w:r>
            <w:proofErr w:type="spellStart"/>
            <w:r w:rsidRPr="00D90F01">
              <w:rPr>
                <w:rFonts w:ascii="Century Gothic" w:eastAsia="Times New Roman" w:hAnsi="Century Gothic" w:cs="Calibri"/>
                <w:color w:val="000000"/>
                <w:sz w:val="17"/>
                <w:szCs w:val="17"/>
                <w:lang w:val="en-US"/>
              </w:rPr>
              <w:t>Geoestadístico</w:t>
            </w:r>
            <w:proofErr w:type="spellEnd"/>
          </w:p>
        </w:tc>
        <w:tc>
          <w:tcPr>
            <w:tcW w:w="3544" w:type="dxa"/>
            <w:tcBorders>
              <w:top w:val="nil"/>
              <w:left w:val="nil"/>
              <w:bottom w:val="single" w:sz="8" w:space="0" w:color="BFBFBF"/>
              <w:right w:val="single" w:sz="8" w:space="0" w:color="BFBFBF"/>
            </w:tcBorders>
            <w:shd w:val="clear" w:color="000000" w:fill="FFFFFF"/>
            <w:vAlign w:val="center"/>
            <w:hideMark/>
          </w:tcPr>
          <w:p w14:paraId="34A3EC4E"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Marco </w:t>
            </w:r>
            <w:proofErr w:type="spellStart"/>
            <w:r w:rsidRPr="00D90F01">
              <w:rPr>
                <w:rFonts w:ascii="Century Gothic" w:eastAsia="Times New Roman" w:hAnsi="Century Gothic" w:cs="Calibri"/>
                <w:color w:val="000000"/>
                <w:sz w:val="17"/>
                <w:szCs w:val="17"/>
                <w:lang w:val="en-US"/>
              </w:rPr>
              <w:t>Geoestadístico</w:t>
            </w:r>
            <w:proofErr w:type="spellEnd"/>
            <w:r w:rsidRPr="00D90F01">
              <w:rPr>
                <w:rFonts w:ascii="Century Gothic" w:eastAsia="Times New Roman" w:hAnsi="Century Gothic" w:cs="Calibri"/>
                <w:color w:val="000000"/>
                <w:sz w:val="17"/>
                <w:szCs w:val="17"/>
                <w:lang w:val="en-US"/>
              </w:rPr>
              <w:t xml:space="preserve"> Nacional</w:t>
            </w:r>
          </w:p>
        </w:tc>
        <w:tc>
          <w:tcPr>
            <w:tcW w:w="1701" w:type="dxa"/>
            <w:tcBorders>
              <w:top w:val="nil"/>
              <w:left w:val="nil"/>
              <w:bottom w:val="single" w:sz="8" w:space="0" w:color="BFBFBF"/>
              <w:right w:val="single" w:sz="8" w:space="0" w:color="BFBFBF"/>
            </w:tcBorders>
            <w:shd w:val="clear" w:color="000000" w:fill="FFFFFF"/>
            <w:noWrap/>
            <w:vAlign w:val="center"/>
            <w:hideMark/>
          </w:tcPr>
          <w:p w14:paraId="0FAD4A7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Semestral</w:t>
            </w:r>
          </w:p>
        </w:tc>
        <w:tc>
          <w:tcPr>
            <w:tcW w:w="1442" w:type="dxa"/>
            <w:tcBorders>
              <w:top w:val="nil"/>
              <w:left w:val="nil"/>
              <w:bottom w:val="single" w:sz="8" w:space="0" w:color="BFBFBF"/>
              <w:right w:val="single" w:sz="8" w:space="0" w:color="BFBFBF"/>
            </w:tcBorders>
            <w:shd w:val="clear" w:color="000000" w:fill="FFFFFF"/>
            <w:vAlign w:val="center"/>
            <w:hideMark/>
          </w:tcPr>
          <w:p w14:paraId="060DD6A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276" w:type="dxa"/>
            <w:tcBorders>
              <w:top w:val="nil"/>
              <w:left w:val="nil"/>
              <w:bottom w:val="single" w:sz="8" w:space="0" w:color="BFBFBF"/>
              <w:right w:val="single" w:sz="8" w:space="0" w:color="BFBFBF"/>
            </w:tcBorders>
            <w:shd w:val="clear" w:color="000000" w:fill="FFFFFF"/>
            <w:noWrap/>
            <w:vAlign w:val="center"/>
            <w:hideMark/>
          </w:tcPr>
          <w:p w14:paraId="5BF072F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183</w:t>
            </w:r>
          </w:p>
        </w:tc>
        <w:tc>
          <w:tcPr>
            <w:tcW w:w="1959" w:type="dxa"/>
            <w:tcBorders>
              <w:top w:val="nil"/>
              <w:left w:val="nil"/>
              <w:bottom w:val="single" w:sz="8" w:space="0" w:color="BFBFBF"/>
              <w:right w:val="single" w:sz="8" w:space="0" w:color="BFBFBF"/>
            </w:tcBorders>
            <w:shd w:val="clear" w:color="000000" w:fill="FFFFFF"/>
            <w:vAlign w:val="center"/>
            <w:hideMark/>
          </w:tcPr>
          <w:p w14:paraId="32779E0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I - </w:t>
            </w:r>
            <w:proofErr w:type="spellStart"/>
            <w:r w:rsidRPr="00D90F01">
              <w:rPr>
                <w:rFonts w:ascii="Century Gothic" w:eastAsia="Times New Roman" w:hAnsi="Century Gothic" w:cs="Calibri"/>
                <w:color w:val="000000"/>
                <w:sz w:val="17"/>
                <w:szCs w:val="17"/>
                <w:lang w:val="en-US"/>
              </w:rPr>
              <w:t>Propuesta</w:t>
            </w:r>
            <w:proofErr w:type="spellEnd"/>
            <w:r w:rsidRPr="00D90F01">
              <w:rPr>
                <w:rFonts w:ascii="Century Gothic" w:eastAsia="Times New Roman" w:hAnsi="Century Gothic" w:cs="Calibri"/>
                <w:color w:val="000000"/>
                <w:sz w:val="17"/>
                <w:szCs w:val="17"/>
                <w:lang w:val="en-US"/>
              </w:rPr>
              <w:t xml:space="preserve"> interna</w:t>
            </w:r>
          </w:p>
        </w:tc>
        <w:tc>
          <w:tcPr>
            <w:tcW w:w="851" w:type="dxa"/>
            <w:tcBorders>
              <w:top w:val="nil"/>
              <w:left w:val="nil"/>
              <w:bottom w:val="single" w:sz="8" w:space="0" w:color="BFBFBF"/>
              <w:right w:val="single" w:sz="8" w:space="0" w:color="BFBFBF"/>
            </w:tcBorders>
            <w:shd w:val="clear" w:color="000000" w:fill="FFFFFF"/>
            <w:noWrap/>
            <w:vAlign w:val="center"/>
            <w:hideMark/>
          </w:tcPr>
          <w:p w14:paraId="31F6A87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-0.639</w:t>
            </w:r>
          </w:p>
        </w:tc>
      </w:tr>
      <w:tr w:rsidR="00D90F01" w:rsidRPr="00D90F01" w14:paraId="5AA674C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5C33B72"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Estadísticas sobre relaciones laborales de jurisdicción local</w:t>
            </w:r>
          </w:p>
        </w:tc>
        <w:tc>
          <w:tcPr>
            <w:tcW w:w="3544" w:type="dxa"/>
            <w:tcBorders>
              <w:top w:val="nil"/>
              <w:left w:val="nil"/>
              <w:bottom w:val="single" w:sz="8" w:space="0" w:color="BFBFBF"/>
              <w:right w:val="single" w:sz="8" w:space="0" w:color="BFBFBF"/>
            </w:tcBorders>
            <w:shd w:val="clear" w:color="000000" w:fill="FFFFFF"/>
            <w:vAlign w:val="center"/>
            <w:hideMark/>
          </w:tcPr>
          <w:p w14:paraId="1DCC52B7"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Estadísticas sobre relaciones laborales de jurisdicción local</w:t>
            </w:r>
          </w:p>
        </w:tc>
        <w:tc>
          <w:tcPr>
            <w:tcW w:w="1701" w:type="dxa"/>
            <w:tcBorders>
              <w:top w:val="nil"/>
              <w:left w:val="nil"/>
              <w:bottom w:val="single" w:sz="8" w:space="0" w:color="BFBFBF"/>
              <w:right w:val="single" w:sz="8" w:space="0" w:color="BFBFBF"/>
            </w:tcBorders>
            <w:shd w:val="clear" w:color="000000" w:fill="FFFFFF"/>
            <w:noWrap/>
            <w:vAlign w:val="center"/>
            <w:hideMark/>
          </w:tcPr>
          <w:p w14:paraId="428E093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5E03D7B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273</w:t>
            </w:r>
          </w:p>
        </w:tc>
        <w:tc>
          <w:tcPr>
            <w:tcW w:w="1276" w:type="dxa"/>
            <w:tcBorders>
              <w:top w:val="nil"/>
              <w:left w:val="nil"/>
              <w:bottom w:val="single" w:sz="8" w:space="0" w:color="BFBFBF"/>
              <w:right w:val="single" w:sz="8" w:space="0" w:color="BFBFBF"/>
            </w:tcBorders>
            <w:shd w:val="clear" w:color="000000" w:fill="FFFFFF"/>
            <w:noWrap/>
            <w:vAlign w:val="center"/>
            <w:hideMark/>
          </w:tcPr>
          <w:p w14:paraId="54789BA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180</w:t>
            </w:r>
          </w:p>
        </w:tc>
        <w:tc>
          <w:tcPr>
            <w:tcW w:w="1959" w:type="dxa"/>
            <w:tcBorders>
              <w:top w:val="nil"/>
              <w:left w:val="nil"/>
              <w:bottom w:val="single" w:sz="8" w:space="0" w:color="BFBFBF"/>
              <w:right w:val="single" w:sz="8" w:space="0" w:color="BFBFBF"/>
            </w:tcBorders>
            <w:shd w:val="clear" w:color="000000" w:fill="FFFFFF"/>
            <w:vAlign w:val="center"/>
            <w:hideMark/>
          </w:tcPr>
          <w:p w14:paraId="31F7D9F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noWrap/>
            <w:vAlign w:val="center"/>
            <w:hideMark/>
          </w:tcPr>
          <w:p w14:paraId="0C70B39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-0.517</w:t>
            </w:r>
          </w:p>
        </w:tc>
      </w:tr>
      <w:tr w:rsidR="00D90F01" w:rsidRPr="00D90F01" w14:paraId="1134F3E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EDBF195"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la Industria Manufacturera, Maquiladora, y de Servicios de Exportación</w:t>
            </w:r>
          </w:p>
        </w:tc>
        <w:tc>
          <w:tcPr>
            <w:tcW w:w="3544" w:type="dxa"/>
            <w:tcBorders>
              <w:top w:val="nil"/>
              <w:left w:val="nil"/>
              <w:bottom w:val="single" w:sz="8" w:space="0" w:color="BFBFBF"/>
              <w:right w:val="single" w:sz="8" w:space="0" w:color="BFBFBF"/>
            </w:tcBorders>
            <w:shd w:val="clear" w:color="000000" w:fill="DEEAF6"/>
            <w:vAlign w:val="center"/>
            <w:hideMark/>
          </w:tcPr>
          <w:p w14:paraId="16CFA67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Indicadores de Establecimientos con Programa IMMEX (Estadística del Programa IMMEX)</w:t>
            </w:r>
          </w:p>
        </w:tc>
        <w:tc>
          <w:tcPr>
            <w:tcW w:w="1701" w:type="dxa"/>
            <w:tcBorders>
              <w:top w:val="nil"/>
              <w:left w:val="nil"/>
              <w:bottom w:val="single" w:sz="8" w:space="0" w:color="BFBFBF"/>
              <w:right w:val="single" w:sz="8" w:space="0" w:color="BFBFBF"/>
            </w:tcBorders>
            <w:shd w:val="clear" w:color="000000" w:fill="DEEAF6"/>
            <w:noWrap/>
            <w:vAlign w:val="center"/>
            <w:hideMark/>
          </w:tcPr>
          <w:p w14:paraId="3730F13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6BA21B8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59.75</w:t>
            </w:r>
          </w:p>
        </w:tc>
        <w:tc>
          <w:tcPr>
            <w:tcW w:w="1276" w:type="dxa"/>
            <w:tcBorders>
              <w:top w:val="nil"/>
              <w:left w:val="nil"/>
              <w:bottom w:val="single" w:sz="8" w:space="0" w:color="BFBFBF"/>
              <w:right w:val="single" w:sz="8" w:space="0" w:color="BFBFBF"/>
            </w:tcBorders>
            <w:shd w:val="clear" w:color="000000" w:fill="DEEAF6"/>
            <w:vAlign w:val="center"/>
            <w:hideMark/>
          </w:tcPr>
          <w:p w14:paraId="4507CAE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DEEAF6"/>
            <w:vAlign w:val="center"/>
            <w:hideMark/>
          </w:tcPr>
          <w:p w14:paraId="56FF383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w:t>
            </w:r>
            <w:proofErr w:type="spellStart"/>
            <w:r w:rsidRPr="00D90F01">
              <w:rPr>
                <w:rFonts w:ascii="Century Gothic" w:eastAsia="Times New Roman" w:hAnsi="Century Gothic" w:cs="Calibri"/>
                <w:color w:val="000000"/>
                <w:sz w:val="17"/>
                <w:szCs w:val="17"/>
                <w:lang w:val="en-US"/>
              </w:rPr>
              <w:t>Estándar</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vAlign w:val="center"/>
            <w:hideMark/>
          </w:tcPr>
          <w:p w14:paraId="181C4FF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-0.328</w:t>
            </w:r>
          </w:p>
        </w:tc>
      </w:tr>
      <w:tr w:rsidR="00D90F01" w:rsidRPr="00D90F01" w14:paraId="3C05282A"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77E973A"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Industria</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Minero</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Metalúrgica</w:t>
            </w:r>
            <w:proofErr w:type="spellEnd"/>
          </w:p>
        </w:tc>
        <w:tc>
          <w:tcPr>
            <w:tcW w:w="3544" w:type="dxa"/>
            <w:tcBorders>
              <w:top w:val="nil"/>
              <w:left w:val="nil"/>
              <w:bottom w:val="single" w:sz="8" w:space="0" w:color="BFBFBF"/>
              <w:right w:val="single" w:sz="8" w:space="0" w:color="BFBFBF"/>
            </w:tcBorders>
            <w:shd w:val="clear" w:color="000000" w:fill="DEEAF6"/>
            <w:vAlign w:val="center"/>
            <w:hideMark/>
          </w:tcPr>
          <w:p w14:paraId="0E7C548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 xml:space="preserve">Indicadores de la Industria </w:t>
            </w:r>
            <w:proofErr w:type="spellStart"/>
            <w:r w:rsidRPr="00D90F01">
              <w:rPr>
                <w:rFonts w:ascii="Century Gothic" w:eastAsia="Times New Roman" w:hAnsi="Century Gothic" w:cs="Calibri"/>
                <w:color w:val="000000"/>
                <w:sz w:val="17"/>
                <w:szCs w:val="17"/>
              </w:rPr>
              <w:t>Minerometalúrgica</w:t>
            </w:r>
            <w:proofErr w:type="spellEnd"/>
          </w:p>
        </w:tc>
        <w:tc>
          <w:tcPr>
            <w:tcW w:w="1701" w:type="dxa"/>
            <w:tcBorders>
              <w:top w:val="nil"/>
              <w:left w:val="nil"/>
              <w:bottom w:val="single" w:sz="8" w:space="0" w:color="BFBFBF"/>
              <w:right w:val="single" w:sz="8" w:space="0" w:color="BFBFBF"/>
            </w:tcBorders>
            <w:shd w:val="clear" w:color="000000" w:fill="DEEAF6"/>
            <w:noWrap/>
            <w:vAlign w:val="center"/>
            <w:hideMark/>
          </w:tcPr>
          <w:p w14:paraId="52C38B5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32C49F2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59.25</w:t>
            </w:r>
          </w:p>
        </w:tc>
        <w:tc>
          <w:tcPr>
            <w:tcW w:w="1276" w:type="dxa"/>
            <w:tcBorders>
              <w:top w:val="nil"/>
              <w:left w:val="nil"/>
              <w:bottom w:val="single" w:sz="8" w:space="0" w:color="BFBFBF"/>
              <w:right w:val="single" w:sz="8" w:space="0" w:color="BFBFBF"/>
            </w:tcBorders>
            <w:shd w:val="clear" w:color="000000" w:fill="DEEAF6"/>
            <w:vAlign w:val="center"/>
            <w:hideMark/>
          </w:tcPr>
          <w:p w14:paraId="3C1B921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DEEAF6"/>
            <w:vAlign w:val="center"/>
            <w:hideMark/>
          </w:tcPr>
          <w:p w14:paraId="08C1135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w:t>
            </w:r>
            <w:proofErr w:type="spellStart"/>
            <w:r w:rsidRPr="00D90F01">
              <w:rPr>
                <w:rFonts w:ascii="Century Gothic" w:eastAsia="Times New Roman" w:hAnsi="Century Gothic" w:cs="Calibri"/>
                <w:color w:val="000000"/>
                <w:sz w:val="17"/>
                <w:szCs w:val="17"/>
                <w:lang w:val="en-US"/>
              </w:rPr>
              <w:t>Estándar</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vAlign w:val="center"/>
            <w:hideMark/>
          </w:tcPr>
          <w:p w14:paraId="720EC76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-0.317</w:t>
            </w:r>
          </w:p>
        </w:tc>
      </w:tr>
      <w:tr w:rsidR="00D90F01" w:rsidRPr="00D90F01" w14:paraId="289FBDA9"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2CE2BA7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Procuración de Justicia Federal</w:t>
            </w:r>
          </w:p>
        </w:tc>
        <w:tc>
          <w:tcPr>
            <w:tcW w:w="3544" w:type="dxa"/>
            <w:tcBorders>
              <w:top w:val="nil"/>
              <w:left w:val="nil"/>
              <w:bottom w:val="single" w:sz="8" w:space="0" w:color="BFBFBF"/>
              <w:right w:val="single" w:sz="8" w:space="0" w:color="BFBFBF"/>
            </w:tcBorders>
            <w:shd w:val="clear" w:color="000000" w:fill="DEEAF6"/>
            <w:vAlign w:val="center"/>
            <w:hideMark/>
          </w:tcPr>
          <w:p w14:paraId="111712B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Procuración de Justicia Federal</w:t>
            </w:r>
          </w:p>
        </w:tc>
        <w:tc>
          <w:tcPr>
            <w:tcW w:w="1701" w:type="dxa"/>
            <w:tcBorders>
              <w:top w:val="nil"/>
              <w:left w:val="nil"/>
              <w:bottom w:val="single" w:sz="8" w:space="0" w:color="BFBFBF"/>
              <w:right w:val="single" w:sz="8" w:space="0" w:color="BFBFBF"/>
            </w:tcBorders>
            <w:shd w:val="clear" w:color="000000" w:fill="DEEAF6"/>
            <w:noWrap/>
            <w:vAlign w:val="center"/>
            <w:hideMark/>
          </w:tcPr>
          <w:p w14:paraId="3D368B0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7080E92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393</w:t>
            </w:r>
          </w:p>
        </w:tc>
        <w:tc>
          <w:tcPr>
            <w:tcW w:w="1276" w:type="dxa"/>
            <w:tcBorders>
              <w:top w:val="nil"/>
              <w:left w:val="nil"/>
              <w:bottom w:val="single" w:sz="8" w:space="0" w:color="BFBFBF"/>
              <w:right w:val="single" w:sz="8" w:space="0" w:color="BFBFBF"/>
            </w:tcBorders>
            <w:shd w:val="clear" w:color="000000" w:fill="DEEAF6"/>
            <w:noWrap/>
            <w:vAlign w:val="center"/>
            <w:hideMark/>
          </w:tcPr>
          <w:p w14:paraId="1C7E6EC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DEEAF6"/>
            <w:vAlign w:val="center"/>
            <w:hideMark/>
          </w:tcPr>
          <w:p w14:paraId="396D169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O - </w:t>
            </w:r>
            <w:proofErr w:type="spellStart"/>
            <w:r w:rsidRPr="00D90F01">
              <w:rPr>
                <w:rFonts w:ascii="Century Gothic" w:eastAsia="Times New Roman" w:hAnsi="Century Gothic" w:cs="Calibri"/>
                <w:color w:val="000000"/>
                <w:sz w:val="17"/>
                <w:szCs w:val="17"/>
                <w:lang w:val="en-US"/>
              </w:rPr>
              <w:t>Otro</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2907BB0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-0.310</w:t>
            </w:r>
          </w:p>
        </w:tc>
      </w:tr>
      <w:tr w:rsidR="00D90F01" w:rsidRPr="00D90F01" w14:paraId="136CD4A0"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133BD15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comercio. Encuesta Mensual sobre Empresa Comerciales</w:t>
            </w:r>
          </w:p>
        </w:tc>
        <w:tc>
          <w:tcPr>
            <w:tcW w:w="3544" w:type="dxa"/>
            <w:tcBorders>
              <w:top w:val="nil"/>
              <w:left w:val="nil"/>
              <w:bottom w:val="single" w:sz="8" w:space="0" w:color="BFBFBF"/>
              <w:right w:val="single" w:sz="8" w:space="0" w:color="BFBFBF"/>
            </w:tcBorders>
            <w:shd w:val="clear" w:color="000000" w:fill="FFFFFF"/>
            <w:vAlign w:val="center"/>
            <w:hideMark/>
          </w:tcPr>
          <w:p w14:paraId="78DBB5DF"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Indicadores</w:t>
            </w:r>
            <w:proofErr w:type="spellEnd"/>
            <w:r w:rsidRPr="00D90F01">
              <w:rPr>
                <w:rFonts w:ascii="Century Gothic" w:eastAsia="Times New Roman" w:hAnsi="Century Gothic" w:cs="Calibri"/>
                <w:color w:val="000000"/>
                <w:sz w:val="17"/>
                <w:szCs w:val="17"/>
                <w:lang w:val="en-US"/>
              </w:rPr>
              <w:t xml:space="preserve"> de </w:t>
            </w:r>
            <w:proofErr w:type="spellStart"/>
            <w:r w:rsidRPr="00D90F01">
              <w:rPr>
                <w:rFonts w:ascii="Century Gothic" w:eastAsia="Times New Roman" w:hAnsi="Century Gothic" w:cs="Calibri"/>
                <w:color w:val="000000"/>
                <w:sz w:val="17"/>
                <w:szCs w:val="17"/>
                <w:lang w:val="en-US"/>
              </w:rPr>
              <w:t>Empresas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Comerciales</w:t>
            </w:r>
            <w:proofErr w:type="spellEnd"/>
          </w:p>
        </w:tc>
        <w:tc>
          <w:tcPr>
            <w:tcW w:w="1701" w:type="dxa"/>
            <w:tcBorders>
              <w:top w:val="nil"/>
              <w:left w:val="nil"/>
              <w:bottom w:val="single" w:sz="8" w:space="0" w:color="BFBFBF"/>
              <w:right w:val="single" w:sz="8" w:space="0" w:color="BFBFBF"/>
            </w:tcBorders>
            <w:shd w:val="clear" w:color="000000" w:fill="FFFFFF"/>
            <w:noWrap/>
            <w:vAlign w:val="center"/>
            <w:hideMark/>
          </w:tcPr>
          <w:p w14:paraId="1FDD2B1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02CAED9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54.08</w:t>
            </w:r>
          </w:p>
        </w:tc>
        <w:tc>
          <w:tcPr>
            <w:tcW w:w="1276" w:type="dxa"/>
            <w:tcBorders>
              <w:top w:val="nil"/>
              <w:left w:val="nil"/>
              <w:bottom w:val="single" w:sz="8" w:space="0" w:color="BFBFBF"/>
              <w:right w:val="single" w:sz="8" w:space="0" w:color="BFBFBF"/>
            </w:tcBorders>
            <w:shd w:val="clear" w:color="000000" w:fill="FFFFFF"/>
            <w:noWrap/>
            <w:vAlign w:val="center"/>
            <w:hideMark/>
          </w:tcPr>
          <w:p w14:paraId="3E09AAB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FFFFFF"/>
            <w:vAlign w:val="center"/>
            <w:hideMark/>
          </w:tcPr>
          <w:p w14:paraId="13E65DA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07A3011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-0.202</w:t>
            </w:r>
          </w:p>
        </w:tc>
      </w:tr>
      <w:tr w:rsidR="00D90F01" w:rsidRPr="00D90F01" w14:paraId="0FA7BC8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5125C3BC"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Encuestas de servicios y transportes. Encuesta Mensual de Servicios</w:t>
            </w:r>
          </w:p>
        </w:tc>
        <w:tc>
          <w:tcPr>
            <w:tcW w:w="3544" w:type="dxa"/>
            <w:tcBorders>
              <w:top w:val="nil"/>
              <w:left w:val="nil"/>
              <w:bottom w:val="single" w:sz="8" w:space="0" w:color="BFBFBF"/>
              <w:right w:val="single" w:sz="8" w:space="0" w:color="BFBFBF"/>
            </w:tcBorders>
            <w:shd w:val="clear" w:color="000000" w:fill="FFFFFF"/>
            <w:vAlign w:val="center"/>
            <w:hideMark/>
          </w:tcPr>
          <w:p w14:paraId="30D2D352"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Indicadores</w:t>
            </w:r>
            <w:proofErr w:type="spellEnd"/>
            <w:r w:rsidRPr="00D90F01">
              <w:rPr>
                <w:rFonts w:ascii="Century Gothic" w:eastAsia="Times New Roman" w:hAnsi="Century Gothic" w:cs="Calibri"/>
                <w:color w:val="000000"/>
                <w:sz w:val="17"/>
                <w:szCs w:val="17"/>
                <w:lang w:val="en-US"/>
              </w:rPr>
              <w:t xml:space="preserve"> del Sector </w:t>
            </w:r>
            <w:proofErr w:type="spellStart"/>
            <w:r w:rsidRPr="00D90F01">
              <w:rPr>
                <w:rFonts w:ascii="Century Gothic" w:eastAsia="Times New Roman" w:hAnsi="Century Gothic" w:cs="Calibri"/>
                <w:color w:val="000000"/>
                <w:sz w:val="17"/>
                <w:szCs w:val="17"/>
                <w:lang w:val="en-US"/>
              </w:rPr>
              <w:t>Servicios</w:t>
            </w:r>
            <w:proofErr w:type="spellEnd"/>
          </w:p>
        </w:tc>
        <w:tc>
          <w:tcPr>
            <w:tcW w:w="1701" w:type="dxa"/>
            <w:tcBorders>
              <w:top w:val="nil"/>
              <w:left w:val="nil"/>
              <w:bottom w:val="single" w:sz="8" w:space="0" w:color="BFBFBF"/>
              <w:right w:val="single" w:sz="8" w:space="0" w:color="BFBFBF"/>
            </w:tcBorders>
            <w:shd w:val="clear" w:color="000000" w:fill="FFFFFF"/>
            <w:noWrap/>
            <w:vAlign w:val="center"/>
            <w:hideMark/>
          </w:tcPr>
          <w:p w14:paraId="2301CA5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16BBD4A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54.08</w:t>
            </w:r>
          </w:p>
        </w:tc>
        <w:tc>
          <w:tcPr>
            <w:tcW w:w="1276" w:type="dxa"/>
            <w:tcBorders>
              <w:top w:val="nil"/>
              <w:left w:val="nil"/>
              <w:bottom w:val="single" w:sz="8" w:space="0" w:color="BFBFBF"/>
              <w:right w:val="single" w:sz="8" w:space="0" w:color="BFBFBF"/>
            </w:tcBorders>
            <w:shd w:val="clear" w:color="000000" w:fill="FFFFFF"/>
            <w:noWrap/>
            <w:vAlign w:val="center"/>
            <w:hideMark/>
          </w:tcPr>
          <w:p w14:paraId="3EDADAB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FFFFFF"/>
            <w:vAlign w:val="center"/>
            <w:hideMark/>
          </w:tcPr>
          <w:p w14:paraId="6D05B7E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0F6E25A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-0.202</w:t>
            </w:r>
          </w:p>
        </w:tc>
      </w:tr>
      <w:tr w:rsidR="00D90F01" w:rsidRPr="00D90F01" w14:paraId="6D716E5A"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0F7813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empresas constructoras. Encuesta Nacional de Empresas Constructoras</w:t>
            </w:r>
          </w:p>
        </w:tc>
        <w:tc>
          <w:tcPr>
            <w:tcW w:w="3544" w:type="dxa"/>
            <w:tcBorders>
              <w:top w:val="nil"/>
              <w:left w:val="nil"/>
              <w:bottom w:val="single" w:sz="8" w:space="0" w:color="BFBFBF"/>
              <w:right w:val="single" w:sz="8" w:space="0" w:color="BFBFBF"/>
            </w:tcBorders>
            <w:shd w:val="clear" w:color="000000" w:fill="FFFFFF"/>
            <w:vAlign w:val="center"/>
            <w:hideMark/>
          </w:tcPr>
          <w:p w14:paraId="222531D0"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Indicadores</w:t>
            </w:r>
            <w:proofErr w:type="spellEnd"/>
            <w:r w:rsidRPr="00D90F01">
              <w:rPr>
                <w:rFonts w:ascii="Century Gothic" w:eastAsia="Times New Roman" w:hAnsi="Century Gothic" w:cs="Calibri"/>
                <w:color w:val="000000"/>
                <w:sz w:val="17"/>
                <w:szCs w:val="17"/>
                <w:lang w:val="en-US"/>
              </w:rPr>
              <w:t xml:space="preserve"> de </w:t>
            </w:r>
            <w:proofErr w:type="spellStart"/>
            <w:r w:rsidRPr="00D90F01">
              <w:rPr>
                <w:rFonts w:ascii="Century Gothic" w:eastAsia="Times New Roman" w:hAnsi="Century Gothic" w:cs="Calibri"/>
                <w:color w:val="000000"/>
                <w:sz w:val="17"/>
                <w:szCs w:val="17"/>
                <w:lang w:val="en-US"/>
              </w:rPr>
              <w:t>Empresas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Constructoras</w:t>
            </w:r>
            <w:proofErr w:type="spellEnd"/>
          </w:p>
        </w:tc>
        <w:tc>
          <w:tcPr>
            <w:tcW w:w="1701" w:type="dxa"/>
            <w:tcBorders>
              <w:top w:val="nil"/>
              <w:left w:val="nil"/>
              <w:bottom w:val="single" w:sz="8" w:space="0" w:color="BFBFBF"/>
              <w:right w:val="single" w:sz="8" w:space="0" w:color="BFBFBF"/>
            </w:tcBorders>
            <w:shd w:val="clear" w:color="000000" w:fill="FFFFFF"/>
            <w:noWrap/>
            <w:vAlign w:val="center"/>
            <w:hideMark/>
          </w:tcPr>
          <w:p w14:paraId="07F4C4B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542A82C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53.9</w:t>
            </w:r>
          </w:p>
        </w:tc>
        <w:tc>
          <w:tcPr>
            <w:tcW w:w="1276" w:type="dxa"/>
            <w:tcBorders>
              <w:top w:val="nil"/>
              <w:left w:val="nil"/>
              <w:bottom w:val="single" w:sz="8" w:space="0" w:color="BFBFBF"/>
              <w:right w:val="single" w:sz="8" w:space="0" w:color="BFBFBF"/>
            </w:tcBorders>
            <w:shd w:val="clear" w:color="000000" w:fill="FFFFFF"/>
            <w:noWrap/>
            <w:vAlign w:val="center"/>
            <w:hideMark/>
          </w:tcPr>
          <w:p w14:paraId="7DE718C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FFFFFF"/>
            <w:vAlign w:val="center"/>
            <w:hideMark/>
          </w:tcPr>
          <w:p w14:paraId="25AD7A8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0B41915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-0.198</w:t>
            </w:r>
          </w:p>
        </w:tc>
      </w:tr>
      <w:tr w:rsidR="00D90F01" w:rsidRPr="00D90F01" w14:paraId="47F11E43"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3A351E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Ocupación y Empleo</w:t>
            </w:r>
          </w:p>
        </w:tc>
        <w:tc>
          <w:tcPr>
            <w:tcW w:w="3544" w:type="dxa"/>
            <w:tcBorders>
              <w:top w:val="nil"/>
              <w:left w:val="nil"/>
              <w:bottom w:val="single" w:sz="8" w:space="0" w:color="BFBFBF"/>
              <w:right w:val="single" w:sz="8" w:space="0" w:color="BFBFBF"/>
            </w:tcBorders>
            <w:shd w:val="clear" w:color="000000" w:fill="FFFFFF"/>
            <w:vAlign w:val="center"/>
            <w:hideMark/>
          </w:tcPr>
          <w:p w14:paraId="1B8AEC35"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Indicadores de Ocupación y Empleo</w:t>
            </w:r>
          </w:p>
        </w:tc>
        <w:tc>
          <w:tcPr>
            <w:tcW w:w="1701" w:type="dxa"/>
            <w:tcBorders>
              <w:top w:val="nil"/>
              <w:left w:val="nil"/>
              <w:bottom w:val="single" w:sz="8" w:space="0" w:color="BFBFBF"/>
              <w:right w:val="single" w:sz="8" w:space="0" w:color="BFBFBF"/>
            </w:tcBorders>
            <w:shd w:val="clear" w:color="000000" w:fill="FFFFFF"/>
            <w:noWrap/>
            <w:vAlign w:val="center"/>
            <w:hideMark/>
          </w:tcPr>
          <w:p w14:paraId="3B94717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48D0BAC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25</w:t>
            </w:r>
          </w:p>
        </w:tc>
        <w:tc>
          <w:tcPr>
            <w:tcW w:w="1276" w:type="dxa"/>
            <w:tcBorders>
              <w:top w:val="nil"/>
              <w:left w:val="nil"/>
              <w:bottom w:val="single" w:sz="8" w:space="0" w:color="BFBFBF"/>
              <w:right w:val="single" w:sz="8" w:space="0" w:color="BFBFBF"/>
            </w:tcBorders>
            <w:shd w:val="clear" w:color="000000" w:fill="FFFFFF"/>
            <w:noWrap/>
            <w:vAlign w:val="center"/>
            <w:hideMark/>
          </w:tcPr>
          <w:p w14:paraId="0A99CC5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21</w:t>
            </w:r>
          </w:p>
        </w:tc>
        <w:tc>
          <w:tcPr>
            <w:tcW w:w="1959" w:type="dxa"/>
            <w:tcBorders>
              <w:top w:val="nil"/>
              <w:left w:val="nil"/>
              <w:bottom w:val="single" w:sz="8" w:space="0" w:color="BFBFBF"/>
              <w:right w:val="single" w:sz="8" w:space="0" w:color="BFBFBF"/>
            </w:tcBorders>
            <w:shd w:val="clear" w:color="000000" w:fill="FFFFFF"/>
            <w:vAlign w:val="center"/>
            <w:hideMark/>
          </w:tcPr>
          <w:p w14:paraId="4940147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noWrap/>
            <w:vAlign w:val="center"/>
            <w:hideMark/>
          </w:tcPr>
          <w:p w14:paraId="3A5E1FA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-0.190</w:t>
            </w:r>
          </w:p>
        </w:tc>
      </w:tr>
      <w:tr w:rsidR="00D90F01" w:rsidRPr="00D90F01" w14:paraId="0F72F35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822CCF4"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Victimización y Percepción sobre Seguridad Pública</w:t>
            </w:r>
          </w:p>
        </w:tc>
        <w:tc>
          <w:tcPr>
            <w:tcW w:w="3544" w:type="dxa"/>
            <w:tcBorders>
              <w:top w:val="nil"/>
              <w:left w:val="nil"/>
              <w:bottom w:val="single" w:sz="8" w:space="0" w:color="BFBFBF"/>
              <w:right w:val="single" w:sz="8" w:space="0" w:color="BFBFBF"/>
            </w:tcBorders>
            <w:shd w:val="clear" w:color="000000" w:fill="FFFFFF"/>
            <w:vAlign w:val="center"/>
            <w:hideMark/>
          </w:tcPr>
          <w:p w14:paraId="3A1D739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Victimización y Percepción sobre Seguridad Pública (ENVIPE)</w:t>
            </w:r>
          </w:p>
        </w:tc>
        <w:tc>
          <w:tcPr>
            <w:tcW w:w="1701" w:type="dxa"/>
            <w:tcBorders>
              <w:top w:val="nil"/>
              <w:left w:val="nil"/>
              <w:bottom w:val="single" w:sz="8" w:space="0" w:color="BFBFBF"/>
              <w:right w:val="single" w:sz="8" w:space="0" w:color="BFBFBF"/>
            </w:tcBorders>
            <w:shd w:val="clear" w:color="000000" w:fill="FFFFFF"/>
            <w:noWrap/>
            <w:vAlign w:val="center"/>
            <w:hideMark/>
          </w:tcPr>
          <w:p w14:paraId="16E88EF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72C0B60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345</w:t>
            </w:r>
          </w:p>
        </w:tc>
        <w:tc>
          <w:tcPr>
            <w:tcW w:w="1276" w:type="dxa"/>
            <w:tcBorders>
              <w:top w:val="nil"/>
              <w:left w:val="nil"/>
              <w:bottom w:val="single" w:sz="8" w:space="0" w:color="BFBFBF"/>
              <w:right w:val="single" w:sz="8" w:space="0" w:color="BFBFBF"/>
            </w:tcBorders>
            <w:shd w:val="clear" w:color="000000" w:fill="FFFFFF"/>
            <w:vAlign w:val="center"/>
            <w:hideMark/>
          </w:tcPr>
          <w:p w14:paraId="661300E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295</w:t>
            </w:r>
          </w:p>
        </w:tc>
        <w:tc>
          <w:tcPr>
            <w:tcW w:w="1959" w:type="dxa"/>
            <w:tcBorders>
              <w:top w:val="nil"/>
              <w:left w:val="nil"/>
              <w:bottom w:val="single" w:sz="8" w:space="0" w:color="BFBFBF"/>
              <w:right w:val="single" w:sz="8" w:space="0" w:color="BFBFBF"/>
            </w:tcBorders>
            <w:shd w:val="clear" w:color="000000" w:fill="FFFFFF"/>
            <w:vAlign w:val="center"/>
            <w:hideMark/>
          </w:tcPr>
          <w:p w14:paraId="0216952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vAlign w:val="center"/>
            <w:hideMark/>
          </w:tcPr>
          <w:p w14:paraId="3763EC7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-0.169</w:t>
            </w:r>
          </w:p>
        </w:tc>
      </w:tr>
      <w:tr w:rsidR="00D90F01" w:rsidRPr="00D90F01" w14:paraId="5F243948"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47EE08E0"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Sistema de </w:t>
            </w:r>
            <w:proofErr w:type="spellStart"/>
            <w:r w:rsidRPr="00D90F01">
              <w:rPr>
                <w:rFonts w:ascii="Century Gothic" w:eastAsia="Times New Roman" w:hAnsi="Century Gothic" w:cs="Calibri"/>
                <w:color w:val="000000"/>
                <w:sz w:val="17"/>
                <w:szCs w:val="17"/>
                <w:lang w:val="en-US"/>
              </w:rPr>
              <w:t>Indicadores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Cíclicos</w:t>
            </w:r>
            <w:proofErr w:type="spellEnd"/>
          </w:p>
        </w:tc>
        <w:tc>
          <w:tcPr>
            <w:tcW w:w="3544" w:type="dxa"/>
            <w:tcBorders>
              <w:top w:val="nil"/>
              <w:left w:val="nil"/>
              <w:bottom w:val="single" w:sz="8" w:space="0" w:color="BFBFBF"/>
              <w:right w:val="single" w:sz="8" w:space="0" w:color="BFBFBF"/>
            </w:tcBorders>
            <w:shd w:val="clear" w:color="000000" w:fill="DEEAF6"/>
            <w:vAlign w:val="center"/>
            <w:hideMark/>
          </w:tcPr>
          <w:p w14:paraId="11D76307"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Sistema de </w:t>
            </w:r>
            <w:proofErr w:type="spellStart"/>
            <w:r w:rsidRPr="00D90F01">
              <w:rPr>
                <w:rFonts w:ascii="Century Gothic" w:eastAsia="Times New Roman" w:hAnsi="Century Gothic" w:cs="Calibri"/>
                <w:color w:val="000000"/>
                <w:sz w:val="17"/>
                <w:szCs w:val="17"/>
                <w:lang w:val="en-US"/>
              </w:rPr>
              <w:t>Indicadores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Cíclicos</w:t>
            </w:r>
            <w:proofErr w:type="spellEnd"/>
          </w:p>
        </w:tc>
        <w:tc>
          <w:tcPr>
            <w:tcW w:w="1701" w:type="dxa"/>
            <w:tcBorders>
              <w:top w:val="nil"/>
              <w:left w:val="nil"/>
              <w:bottom w:val="single" w:sz="8" w:space="0" w:color="BFBFBF"/>
              <w:right w:val="single" w:sz="8" w:space="0" w:color="BFBFBF"/>
            </w:tcBorders>
            <w:shd w:val="clear" w:color="000000" w:fill="DEEAF6"/>
            <w:noWrap/>
            <w:vAlign w:val="center"/>
            <w:hideMark/>
          </w:tcPr>
          <w:p w14:paraId="0EFEBB5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DEEAF6"/>
            <w:noWrap/>
            <w:vAlign w:val="center"/>
            <w:hideMark/>
          </w:tcPr>
          <w:p w14:paraId="5D66C4F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64.5</w:t>
            </w:r>
          </w:p>
        </w:tc>
        <w:tc>
          <w:tcPr>
            <w:tcW w:w="1276" w:type="dxa"/>
            <w:tcBorders>
              <w:top w:val="nil"/>
              <w:left w:val="nil"/>
              <w:bottom w:val="single" w:sz="8" w:space="0" w:color="BFBFBF"/>
              <w:right w:val="single" w:sz="8" w:space="0" w:color="BFBFBF"/>
            </w:tcBorders>
            <w:shd w:val="clear" w:color="000000" w:fill="DEEAF6"/>
            <w:noWrap/>
            <w:vAlign w:val="center"/>
            <w:hideMark/>
          </w:tcPr>
          <w:p w14:paraId="4A9FEE7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60</w:t>
            </w:r>
          </w:p>
        </w:tc>
        <w:tc>
          <w:tcPr>
            <w:tcW w:w="1959" w:type="dxa"/>
            <w:tcBorders>
              <w:top w:val="nil"/>
              <w:left w:val="nil"/>
              <w:bottom w:val="single" w:sz="8" w:space="0" w:color="BFBFBF"/>
              <w:right w:val="single" w:sz="8" w:space="0" w:color="BFBFBF"/>
            </w:tcBorders>
            <w:shd w:val="clear" w:color="000000" w:fill="DEEAF6"/>
            <w:vAlign w:val="center"/>
            <w:hideMark/>
          </w:tcPr>
          <w:p w14:paraId="748BE27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O - </w:t>
            </w:r>
            <w:proofErr w:type="spellStart"/>
            <w:r w:rsidRPr="00D90F01">
              <w:rPr>
                <w:rFonts w:ascii="Century Gothic" w:eastAsia="Times New Roman" w:hAnsi="Century Gothic" w:cs="Calibri"/>
                <w:color w:val="000000"/>
                <w:sz w:val="17"/>
                <w:szCs w:val="17"/>
                <w:lang w:val="en-US"/>
              </w:rPr>
              <w:t>Otro</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357B882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-0.075</w:t>
            </w:r>
          </w:p>
        </w:tc>
      </w:tr>
      <w:tr w:rsidR="00D90F01" w:rsidRPr="00D90F01" w14:paraId="164D134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0BB6609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industrias manufactureras. Encuesta Mensual de la Industria Manufacturera</w:t>
            </w:r>
          </w:p>
        </w:tc>
        <w:tc>
          <w:tcPr>
            <w:tcW w:w="3544" w:type="dxa"/>
            <w:tcBorders>
              <w:top w:val="nil"/>
              <w:left w:val="nil"/>
              <w:bottom w:val="single" w:sz="8" w:space="0" w:color="BFBFBF"/>
              <w:right w:val="single" w:sz="8" w:space="0" w:color="BFBFBF"/>
            </w:tcBorders>
            <w:shd w:val="clear" w:color="000000" w:fill="DEEAF6"/>
            <w:vAlign w:val="center"/>
            <w:hideMark/>
          </w:tcPr>
          <w:p w14:paraId="6EA3533E"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Indicadores</w:t>
            </w:r>
            <w:proofErr w:type="spellEnd"/>
            <w:r w:rsidRPr="00D90F01">
              <w:rPr>
                <w:rFonts w:ascii="Century Gothic" w:eastAsia="Times New Roman" w:hAnsi="Century Gothic" w:cs="Calibri"/>
                <w:color w:val="000000"/>
                <w:sz w:val="17"/>
                <w:szCs w:val="17"/>
                <w:lang w:val="en-US"/>
              </w:rPr>
              <w:t xml:space="preserve"> del Sector </w:t>
            </w:r>
            <w:proofErr w:type="spellStart"/>
            <w:r w:rsidRPr="00D90F01">
              <w:rPr>
                <w:rFonts w:ascii="Century Gothic" w:eastAsia="Times New Roman" w:hAnsi="Century Gothic" w:cs="Calibri"/>
                <w:color w:val="000000"/>
                <w:sz w:val="17"/>
                <w:szCs w:val="17"/>
                <w:lang w:val="en-US"/>
              </w:rPr>
              <w:t>Manufacturero</w:t>
            </w:r>
            <w:proofErr w:type="spellEnd"/>
          </w:p>
        </w:tc>
        <w:tc>
          <w:tcPr>
            <w:tcW w:w="1701" w:type="dxa"/>
            <w:tcBorders>
              <w:top w:val="nil"/>
              <w:left w:val="nil"/>
              <w:bottom w:val="single" w:sz="8" w:space="0" w:color="BFBFBF"/>
              <w:right w:val="single" w:sz="8" w:space="0" w:color="BFBFBF"/>
            </w:tcBorders>
            <w:shd w:val="clear" w:color="000000" w:fill="DEEAF6"/>
            <w:noWrap/>
            <w:vAlign w:val="center"/>
            <w:hideMark/>
          </w:tcPr>
          <w:p w14:paraId="0ABD770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218CD53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48.22</w:t>
            </w:r>
          </w:p>
        </w:tc>
        <w:tc>
          <w:tcPr>
            <w:tcW w:w="1276" w:type="dxa"/>
            <w:tcBorders>
              <w:top w:val="nil"/>
              <w:left w:val="nil"/>
              <w:bottom w:val="single" w:sz="8" w:space="0" w:color="BFBFBF"/>
              <w:right w:val="single" w:sz="8" w:space="0" w:color="BFBFBF"/>
            </w:tcBorders>
            <w:shd w:val="clear" w:color="000000" w:fill="DEEAF6"/>
            <w:noWrap/>
            <w:vAlign w:val="center"/>
            <w:hideMark/>
          </w:tcPr>
          <w:p w14:paraId="32DC47E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DEEAF6"/>
            <w:vAlign w:val="center"/>
            <w:hideMark/>
          </w:tcPr>
          <w:p w14:paraId="47BED66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7F34592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-0.072</w:t>
            </w:r>
          </w:p>
        </w:tc>
      </w:tr>
      <w:tr w:rsidR="00D90F01" w:rsidRPr="00D90F01" w14:paraId="06AAC074"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25EA1444"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Cuentas por Sectores Institucionales</w:t>
            </w:r>
          </w:p>
        </w:tc>
        <w:tc>
          <w:tcPr>
            <w:tcW w:w="3544" w:type="dxa"/>
            <w:tcBorders>
              <w:top w:val="nil"/>
              <w:left w:val="nil"/>
              <w:bottom w:val="single" w:sz="8" w:space="0" w:color="BFBFBF"/>
              <w:right w:val="single" w:sz="8" w:space="0" w:color="BFBFBF"/>
            </w:tcBorders>
            <w:shd w:val="clear" w:color="000000" w:fill="DEEAF6"/>
            <w:vAlign w:val="center"/>
            <w:hideMark/>
          </w:tcPr>
          <w:p w14:paraId="20183D63"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Gobiernos Estatales y Gobiernos Locales, Cuentas Corrientes y de Acumulación Cuentas de Producción por Finalidad, versión preliminar</w:t>
            </w:r>
          </w:p>
        </w:tc>
        <w:tc>
          <w:tcPr>
            <w:tcW w:w="1701" w:type="dxa"/>
            <w:tcBorders>
              <w:top w:val="nil"/>
              <w:left w:val="nil"/>
              <w:bottom w:val="single" w:sz="8" w:space="0" w:color="BFBFBF"/>
              <w:right w:val="single" w:sz="8" w:space="0" w:color="BFBFBF"/>
            </w:tcBorders>
            <w:shd w:val="clear" w:color="000000" w:fill="DEEAF6"/>
            <w:noWrap/>
            <w:vAlign w:val="center"/>
            <w:hideMark/>
          </w:tcPr>
          <w:p w14:paraId="5CF7B9C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269F1E0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351</w:t>
            </w:r>
          </w:p>
        </w:tc>
        <w:tc>
          <w:tcPr>
            <w:tcW w:w="1276" w:type="dxa"/>
            <w:tcBorders>
              <w:top w:val="nil"/>
              <w:left w:val="nil"/>
              <w:bottom w:val="single" w:sz="8" w:space="0" w:color="BFBFBF"/>
              <w:right w:val="single" w:sz="8" w:space="0" w:color="BFBFBF"/>
            </w:tcBorders>
            <w:shd w:val="clear" w:color="000000" w:fill="DEEAF6"/>
            <w:noWrap/>
            <w:vAlign w:val="center"/>
            <w:hideMark/>
          </w:tcPr>
          <w:p w14:paraId="41509DE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330</w:t>
            </w:r>
          </w:p>
        </w:tc>
        <w:tc>
          <w:tcPr>
            <w:tcW w:w="1959" w:type="dxa"/>
            <w:tcBorders>
              <w:top w:val="nil"/>
              <w:left w:val="nil"/>
              <w:bottom w:val="single" w:sz="8" w:space="0" w:color="BFBFBF"/>
              <w:right w:val="single" w:sz="8" w:space="0" w:color="BFBFBF"/>
            </w:tcBorders>
            <w:shd w:val="clear" w:color="000000" w:fill="DEEAF6"/>
            <w:vAlign w:val="center"/>
            <w:hideMark/>
          </w:tcPr>
          <w:p w14:paraId="4CC5B3A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L - </w:t>
            </w:r>
            <w:proofErr w:type="spellStart"/>
            <w:r w:rsidRPr="00D90F01">
              <w:rPr>
                <w:rFonts w:ascii="Century Gothic" w:eastAsia="Times New Roman" w:hAnsi="Century Gothic" w:cs="Calibri"/>
                <w:color w:val="000000"/>
                <w:sz w:val="17"/>
                <w:szCs w:val="17"/>
                <w:lang w:val="en-US"/>
              </w:rPr>
              <w:t>Lineamiento</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institucional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578AE61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-0.064</w:t>
            </w:r>
          </w:p>
        </w:tc>
      </w:tr>
      <w:tr w:rsidR="00D90F01" w:rsidRPr="00D90F01" w14:paraId="5568CE2B"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5FA5D46A"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Transporte Urbano de Pasajeros</w:t>
            </w:r>
          </w:p>
        </w:tc>
        <w:tc>
          <w:tcPr>
            <w:tcW w:w="3544" w:type="dxa"/>
            <w:tcBorders>
              <w:top w:val="nil"/>
              <w:left w:val="nil"/>
              <w:bottom w:val="single" w:sz="8" w:space="0" w:color="BFBFBF"/>
              <w:right w:val="single" w:sz="8" w:space="0" w:color="BFBFBF"/>
            </w:tcBorders>
            <w:shd w:val="clear" w:color="000000" w:fill="FFFFFF"/>
            <w:vAlign w:val="center"/>
            <w:hideMark/>
          </w:tcPr>
          <w:p w14:paraId="77D2E223"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Transporte Urbano de Pasajeros</w:t>
            </w:r>
          </w:p>
        </w:tc>
        <w:tc>
          <w:tcPr>
            <w:tcW w:w="1701" w:type="dxa"/>
            <w:tcBorders>
              <w:top w:val="nil"/>
              <w:left w:val="nil"/>
              <w:bottom w:val="single" w:sz="8" w:space="0" w:color="BFBFBF"/>
              <w:right w:val="single" w:sz="8" w:space="0" w:color="BFBFBF"/>
            </w:tcBorders>
            <w:shd w:val="clear" w:color="000000" w:fill="FFFFFF"/>
            <w:noWrap/>
            <w:vAlign w:val="center"/>
            <w:hideMark/>
          </w:tcPr>
          <w:p w14:paraId="703A4DA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07C2D48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42</w:t>
            </w:r>
          </w:p>
        </w:tc>
        <w:tc>
          <w:tcPr>
            <w:tcW w:w="1276" w:type="dxa"/>
            <w:tcBorders>
              <w:top w:val="nil"/>
              <w:left w:val="nil"/>
              <w:bottom w:val="single" w:sz="8" w:space="0" w:color="BFBFBF"/>
              <w:right w:val="single" w:sz="8" w:space="0" w:color="BFBFBF"/>
            </w:tcBorders>
            <w:shd w:val="clear" w:color="000000" w:fill="FFFFFF"/>
            <w:vAlign w:val="center"/>
            <w:hideMark/>
          </w:tcPr>
          <w:p w14:paraId="585FB0B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40</w:t>
            </w:r>
          </w:p>
        </w:tc>
        <w:tc>
          <w:tcPr>
            <w:tcW w:w="1959" w:type="dxa"/>
            <w:tcBorders>
              <w:top w:val="nil"/>
              <w:left w:val="nil"/>
              <w:bottom w:val="single" w:sz="8" w:space="0" w:color="BFBFBF"/>
              <w:right w:val="single" w:sz="8" w:space="0" w:color="BFBFBF"/>
            </w:tcBorders>
            <w:shd w:val="clear" w:color="000000" w:fill="FFFFFF"/>
            <w:vAlign w:val="center"/>
            <w:hideMark/>
          </w:tcPr>
          <w:p w14:paraId="6A0BDB8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vAlign w:val="center"/>
            <w:hideMark/>
          </w:tcPr>
          <w:p w14:paraId="63F1FC4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-0.050</w:t>
            </w:r>
          </w:p>
        </w:tc>
      </w:tr>
      <w:tr w:rsidR="00D90F01" w:rsidRPr="00D90F01" w14:paraId="0A62E26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0BA2A4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70F5AE47"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 Global de la Actividad Económica</w:t>
            </w:r>
          </w:p>
        </w:tc>
        <w:tc>
          <w:tcPr>
            <w:tcW w:w="1701" w:type="dxa"/>
            <w:tcBorders>
              <w:top w:val="nil"/>
              <w:left w:val="nil"/>
              <w:bottom w:val="single" w:sz="8" w:space="0" w:color="BFBFBF"/>
              <w:right w:val="single" w:sz="8" w:space="0" w:color="BFBFBF"/>
            </w:tcBorders>
            <w:shd w:val="clear" w:color="000000" w:fill="FFFFFF"/>
            <w:noWrap/>
            <w:vAlign w:val="center"/>
            <w:hideMark/>
          </w:tcPr>
          <w:p w14:paraId="1C2BBF9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55630AE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55.58</w:t>
            </w:r>
          </w:p>
        </w:tc>
        <w:tc>
          <w:tcPr>
            <w:tcW w:w="1276" w:type="dxa"/>
            <w:tcBorders>
              <w:top w:val="nil"/>
              <w:left w:val="nil"/>
              <w:bottom w:val="single" w:sz="8" w:space="0" w:color="BFBFBF"/>
              <w:right w:val="single" w:sz="8" w:space="0" w:color="BFBFBF"/>
            </w:tcBorders>
            <w:shd w:val="clear" w:color="000000" w:fill="FFFFFF"/>
            <w:noWrap/>
            <w:vAlign w:val="center"/>
            <w:hideMark/>
          </w:tcPr>
          <w:p w14:paraId="53A63F7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53</w:t>
            </w:r>
          </w:p>
        </w:tc>
        <w:tc>
          <w:tcPr>
            <w:tcW w:w="1959" w:type="dxa"/>
            <w:tcBorders>
              <w:top w:val="nil"/>
              <w:left w:val="nil"/>
              <w:bottom w:val="single" w:sz="8" w:space="0" w:color="BFBFBF"/>
              <w:right w:val="single" w:sz="8" w:space="0" w:color="BFBFBF"/>
            </w:tcBorders>
            <w:shd w:val="clear" w:color="000000" w:fill="FFFFFF"/>
            <w:vAlign w:val="center"/>
            <w:hideMark/>
          </w:tcPr>
          <w:p w14:paraId="2BDCD81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L - </w:t>
            </w:r>
            <w:proofErr w:type="spellStart"/>
            <w:r w:rsidRPr="00D90F01">
              <w:rPr>
                <w:rFonts w:ascii="Century Gothic" w:eastAsia="Times New Roman" w:hAnsi="Century Gothic" w:cs="Calibri"/>
                <w:color w:val="000000"/>
                <w:sz w:val="17"/>
                <w:szCs w:val="17"/>
                <w:lang w:val="en-US"/>
              </w:rPr>
              <w:t>Lineamiento</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institucional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525B0F3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-0.049</w:t>
            </w:r>
          </w:p>
        </w:tc>
      </w:tr>
      <w:tr w:rsidR="00D90F01" w:rsidRPr="00D90F01" w14:paraId="3506675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E938EB0"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 </w:t>
            </w:r>
          </w:p>
        </w:tc>
        <w:tc>
          <w:tcPr>
            <w:tcW w:w="3544" w:type="dxa"/>
            <w:tcBorders>
              <w:top w:val="nil"/>
              <w:left w:val="nil"/>
              <w:bottom w:val="single" w:sz="8" w:space="0" w:color="BFBFBF"/>
              <w:right w:val="single" w:sz="8" w:space="0" w:color="BFBFBF"/>
            </w:tcBorders>
            <w:shd w:val="clear" w:color="000000" w:fill="FFFFFF"/>
            <w:vAlign w:val="center"/>
            <w:hideMark/>
          </w:tcPr>
          <w:p w14:paraId="4DD5BB8C"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Global de Personal Ocupado de los Sectores Económicos (IGPOSE)(IGPERSE)</w:t>
            </w:r>
          </w:p>
        </w:tc>
        <w:tc>
          <w:tcPr>
            <w:tcW w:w="1701" w:type="dxa"/>
            <w:tcBorders>
              <w:top w:val="nil"/>
              <w:left w:val="nil"/>
              <w:bottom w:val="single" w:sz="8" w:space="0" w:color="BFBFBF"/>
              <w:right w:val="single" w:sz="8" w:space="0" w:color="BFBFBF"/>
            </w:tcBorders>
            <w:shd w:val="clear" w:color="000000" w:fill="FFFFFF"/>
            <w:noWrap/>
            <w:vAlign w:val="center"/>
            <w:hideMark/>
          </w:tcPr>
          <w:p w14:paraId="1B88B9E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674FECA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55</w:t>
            </w:r>
          </w:p>
        </w:tc>
        <w:tc>
          <w:tcPr>
            <w:tcW w:w="1276" w:type="dxa"/>
            <w:tcBorders>
              <w:top w:val="nil"/>
              <w:left w:val="nil"/>
              <w:bottom w:val="single" w:sz="8" w:space="0" w:color="BFBFBF"/>
              <w:right w:val="single" w:sz="8" w:space="0" w:color="BFBFBF"/>
            </w:tcBorders>
            <w:shd w:val="clear" w:color="000000" w:fill="FFFFFF"/>
            <w:noWrap/>
            <w:vAlign w:val="center"/>
            <w:hideMark/>
          </w:tcPr>
          <w:p w14:paraId="00362BB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53</w:t>
            </w:r>
          </w:p>
        </w:tc>
        <w:tc>
          <w:tcPr>
            <w:tcW w:w="1959" w:type="dxa"/>
            <w:tcBorders>
              <w:top w:val="nil"/>
              <w:left w:val="nil"/>
              <w:bottom w:val="single" w:sz="8" w:space="0" w:color="BFBFBF"/>
              <w:right w:val="single" w:sz="8" w:space="0" w:color="BFBFBF"/>
            </w:tcBorders>
            <w:shd w:val="clear" w:color="000000" w:fill="FFFFFF"/>
            <w:vAlign w:val="center"/>
            <w:hideMark/>
          </w:tcPr>
          <w:p w14:paraId="3938DB89"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w:t>
            </w:r>
          </w:p>
        </w:tc>
        <w:tc>
          <w:tcPr>
            <w:tcW w:w="851" w:type="dxa"/>
            <w:tcBorders>
              <w:top w:val="nil"/>
              <w:left w:val="nil"/>
              <w:bottom w:val="single" w:sz="8" w:space="0" w:color="BFBFBF"/>
              <w:right w:val="single" w:sz="8" w:space="0" w:color="BFBFBF"/>
            </w:tcBorders>
            <w:shd w:val="clear" w:color="000000" w:fill="FFFFFF"/>
            <w:noWrap/>
            <w:vAlign w:val="center"/>
            <w:hideMark/>
          </w:tcPr>
          <w:p w14:paraId="554AE37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-0.038</w:t>
            </w:r>
          </w:p>
        </w:tc>
      </w:tr>
      <w:tr w:rsidR="00D90F01" w:rsidRPr="00D90F01" w14:paraId="793ED69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51B827A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Regionales</w:t>
            </w:r>
          </w:p>
        </w:tc>
        <w:tc>
          <w:tcPr>
            <w:tcW w:w="3544" w:type="dxa"/>
            <w:tcBorders>
              <w:top w:val="nil"/>
              <w:left w:val="nil"/>
              <w:bottom w:val="single" w:sz="8" w:space="0" w:color="BFBFBF"/>
              <w:right w:val="single" w:sz="8" w:space="0" w:color="BFBFBF"/>
            </w:tcBorders>
            <w:shd w:val="clear" w:color="000000" w:fill="DEEAF6"/>
            <w:vAlign w:val="center"/>
            <w:hideMark/>
          </w:tcPr>
          <w:p w14:paraId="20D6662C"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 Mensual de la Actividad Industrial por Entidad Federativa</w:t>
            </w:r>
          </w:p>
        </w:tc>
        <w:tc>
          <w:tcPr>
            <w:tcW w:w="1701" w:type="dxa"/>
            <w:tcBorders>
              <w:top w:val="nil"/>
              <w:left w:val="nil"/>
              <w:bottom w:val="single" w:sz="8" w:space="0" w:color="BFBFBF"/>
              <w:right w:val="single" w:sz="8" w:space="0" w:color="BFBFBF"/>
            </w:tcBorders>
            <w:shd w:val="clear" w:color="000000" w:fill="DEEAF6"/>
            <w:noWrap/>
            <w:vAlign w:val="center"/>
            <w:hideMark/>
          </w:tcPr>
          <w:p w14:paraId="5C1A6F6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Mensual</w:t>
            </w:r>
          </w:p>
        </w:tc>
        <w:tc>
          <w:tcPr>
            <w:tcW w:w="1442" w:type="dxa"/>
            <w:tcBorders>
              <w:top w:val="nil"/>
              <w:left w:val="nil"/>
              <w:bottom w:val="single" w:sz="8" w:space="0" w:color="BFBFBF"/>
              <w:right w:val="single" w:sz="8" w:space="0" w:color="BFBFBF"/>
            </w:tcBorders>
            <w:shd w:val="clear" w:color="000000" w:fill="DEEAF6"/>
            <w:vAlign w:val="center"/>
            <w:hideMark/>
          </w:tcPr>
          <w:p w14:paraId="7D310FA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101.58</w:t>
            </w:r>
          </w:p>
        </w:tc>
        <w:tc>
          <w:tcPr>
            <w:tcW w:w="1276" w:type="dxa"/>
            <w:tcBorders>
              <w:top w:val="nil"/>
              <w:left w:val="nil"/>
              <w:bottom w:val="single" w:sz="8" w:space="0" w:color="BFBFBF"/>
              <w:right w:val="single" w:sz="8" w:space="0" w:color="BFBFBF"/>
            </w:tcBorders>
            <w:shd w:val="clear" w:color="000000" w:fill="DEEAF6"/>
            <w:noWrap/>
            <w:vAlign w:val="center"/>
            <w:hideMark/>
          </w:tcPr>
          <w:p w14:paraId="5E321A7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100</w:t>
            </w:r>
          </w:p>
        </w:tc>
        <w:tc>
          <w:tcPr>
            <w:tcW w:w="1959" w:type="dxa"/>
            <w:tcBorders>
              <w:top w:val="nil"/>
              <w:left w:val="nil"/>
              <w:bottom w:val="single" w:sz="8" w:space="0" w:color="BFBFBF"/>
              <w:right w:val="single" w:sz="8" w:space="0" w:color="BFBFBF"/>
            </w:tcBorders>
            <w:shd w:val="clear" w:color="000000" w:fill="DEEAF6"/>
            <w:vAlign w:val="center"/>
            <w:hideMark/>
          </w:tcPr>
          <w:p w14:paraId="432EF67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L - </w:t>
            </w:r>
            <w:proofErr w:type="spellStart"/>
            <w:r w:rsidRPr="00D90F01">
              <w:rPr>
                <w:rFonts w:ascii="Century Gothic" w:eastAsia="Times New Roman" w:hAnsi="Century Gothic" w:cs="Calibri"/>
                <w:color w:val="000000"/>
                <w:sz w:val="17"/>
                <w:szCs w:val="17"/>
                <w:lang w:val="en-US"/>
              </w:rPr>
              <w:t>Lineamiento</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institucional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7BB210E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-0.016</w:t>
            </w:r>
          </w:p>
        </w:tc>
      </w:tr>
      <w:tr w:rsidR="00D90F01" w:rsidRPr="00D90F01" w14:paraId="4CB23C96"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7ABC3281"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Cuentas por Sectores Institucionales</w:t>
            </w:r>
          </w:p>
        </w:tc>
        <w:tc>
          <w:tcPr>
            <w:tcW w:w="3544" w:type="dxa"/>
            <w:tcBorders>
              <w:top w:val="nil"/>
              <w:left w:val="nil"/>
              <w:bottom w:val="single" w:sz="8" w:space="0" w:color="BFBFBF"/>
              <w:right w:val="single" w:sz="8" w:space="0" w:color="BFBFBF"/>
            </w:tcBorders>
            <w:shd w:val="clear" w:color="000000" w:fill="DEEAF6"/>
            <w:vAlign w:val="center"/>
            <w:hideMark/>
          </w:tcPr>
          <w:p w14:paraId="20EA673E"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Cuentas</w:t>
            </w:r>
            <w:proofErr w:type="spellEnd"/>
            <w:r w:rsidRPr="00D90F01">
              <w:rPr>
                <w:rFonts w:ascii="Century Gothic" w:eastAsia="Times New Roman" w:hAnsi="Century Gothic" w:cs="Calibri"/>
                <w:color w:val="000000"/>
                <w:sz w:val="17"/>
                <w:szCs w:val="17"/>
                <w:lang w:val="en-US"/>
              </w:rPr>
              <w:t xml:space="preserve"> por </w:t>
            </w:r>
            <w:proofErr w:type="spellStart"/>
            <w:r w:rsidRPr="00D90F01">
              <w:rPr>
                <w:rFonts w:ascii="Century Gothic" w:eastAsia="Times New Roman" w:hAnsi="Century Gothic" w:cs="Calibri"/>
                <w:color w:val="000000"/>
                <w:sz w:val="17"/>
                <w:szCs w:val="17"/>
                <w:lang w:val="en-US"/>
              </w:rPr>
              <w:t>Sectores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Institucionales</w:t>
            </w:r>
            <w:proofErr w:type="spellEnd"/>
          </w:p>
        </w:tc>
        <w:tc>
          <w:tcPr>
            <w:tcW w:w="1701" w:type="dxa"/>
            <w:tcBorders>
              <w:top w:val="nil"/>
              <w:left w:val="nil"/>
              <w:bottom w:val="single" w:sz="8" w:space="0" w:color="BFBFBF"/>
              <w:right w:val="single" w:sz="8" w:space="0" w:color="BFBFBF"/>
            </w:tcBorders>
            <w:shd w:val="clear" w:color="000000" w:fill="DEEAF6"/>
            <w:noWrap/>
            <w:vAlign w:val="center"/>
            <w:hideMark/>
          </w:tcPr>
          <w:p w14:paraId="5B876A0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74FC34D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335</w:t>
            </w:r>
          </w:p>
        </w:tc>
        <w:tc>
          <w:tcPr>
            <w:tcW w:w="1276" w:type="dxa"/>
            <w:tcBorders>
              <w:top w:val="nil"/>
              <w:left w:val="nil"/>
              <w:bottom w:val="single" w:sz="8" w:space="0" w:color="BFBFBF"/>
              <w:right w:val="single" w:sz="8" w:space="0" w:color="BFBFBF"/>
            </w:tcBorders>
            <w:shd w:val="clear" w:color="000000" w:fill="DEEAF6"/>
            <w:noWrap/>
            <w:vAlign w:val="center"/>
            <w:hideMark/>
          </w:tcPr>
          <w:p w14:paraId="0A84C85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330</w:t>
            </w:r>
          </w:p>
        </w:tc>
        <w:tc>
          <w:tcPr>
            <w:tcW w:w="1959" w:type="dxa"/>
            <w:tcBorders>
              <w:top w:val="nil"/>
              <w:left w:val="nil"/>
              <w:bottom w:val="single" w:sz="8" w:space="0" w:color="BFBFBF"/>
              <w:right w:val="single" w:sz="8" w:space="0" w:color="BFBFBF"/>
            </w:tcBorders>
            <w:shd w:val="clear" w:color="000000" w:fill="DEEAF6"/>
            <w:vAlign w:val="center"/>
            <w:hideMark/>
          </w:tcPr>
          <w:p w14:paraId="2306AB8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L - </w:t>
            </w:r>
            <w:proofErr w:type="spellStart"/>
            <w:r w:rsidRPr="00D90F01">
              <w:rPr>
                <w:rFonts w:ascii="Century Gothic" w:eastAsia="Times New Roman" w:hAnsi="Century Gothic" w:cs="Calibri"/>
                <w:color w:val="000000"/>
                <w:sz w:val="17"/>
                <w:szCs w:val="17"/>
                <w:lang w:val="en-US"/>
              </w:rPr>
              <w:t>Lineamiento</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institucional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51EEAEB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-0.015</w:t>
            </w:r>
          </w:p>
        </w:tc>
      </w:tr>
      <w:tr w:rsidR="00D90F01" w:rsidRPr="00D90F01" w14:paraId="7AE52E0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CCB1B9C"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Accidentes de Tránsito Terrestre</w:t>
            </w:r>
          </w:p>
        </w:tc>
        <w:tc>
          <w:tcPr>
            <w:tcW w:w="3544" w:type="dxa"/>
            <w:tcBorders>
              <w:top w:val="nil"/>
              <w:left w:val="nil"/>
              <w:bottom w:val="single" w:sz="8" w:space="0" w:color="BFBFBF"/>
              <w:right w:val="single" w:sz="8" w:space="0" w:color="BFBFBF"/>
            </w:tcBorders>
            <w:shd w:val="clear" w:color="000000" w:fill="DEEAF6"/>
            <w:vAlign w:val="center"/>
            <w:hideMark/>
          </w:tcPr>
          <w:p w14:paraId="46EF16B3"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Accidentes de Tránsito Terrestre en Zonas Urbanas y Suburbanas</w:t>
            </w:r>
          </w:p>
        </w:tc>
        <w:tc>
          <w:tcPr>
            <w:tcW w:w="1701" w:type="dxa"/>
            <w:tcBorders>
              <w:top w:val="nil"/>
              <w:left w:val="nil"/>
              <w:bottom w:val="single" w:sz="8" w:space="0" w:color="BFBFBF"/>
              <w:right w:val="single" w:sz="8" w:space="0" w:color="BFBFBF"/>
            </w:tcBorders>
            <w:shd w:val="clear" w:color="000000" w:fill="DEEAF6"/>
            <w:noWrap/>
            <w:vAlign w:val="center"/>
            <w:hideMark/>
          </w:tcPr>
          <w:p w14:paraId="5D46A19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79B1685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213</w:t>
            </w:r>
          </w:p>
        </w:tc>
        <w:tc>
          <w:tcPr>
            <w:tcW w:w="1276" w:type="dxa"/>
            <w:tcBorders>
              <w:top w:val="nil"/>
              <w:left w:val="nil"/>
              <w:bottom w:val="single" w:sz="8" w:space="0" w:color="BFBFBF"/>
              <w:right w:val="single" w:sz="8" w:space="0" w:color="BFBFBF"/>
            </w:tcBorders>
            <w:shd w:val="clear" w:color="000000" w:fill="DEEAF6"/>
            <w:vAlign w:val="center"/>
            <w:hideMark/>
          </w:tcPr>
          <w:p w14:paraId="25FD50B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210</w:t>
            </w:r>
          </w:p>
        </w:tc>
        <w:tc>
          <w:tcPr>
            <w:tcW w:w="1959" w:type="dxa"/>
            <w:tcBorders>
              <w:top w:val="nil"/>
              <w:left w:val="nil"/>
              <w:bottom w:val="single" w:sz="8" w:space="0" w:color="BFBFBF"/>
              <w:right w:val="single" w:sz="8" w:space="0" w:color="BFBFBF"/>
            </w:tcBorders>
            <w:shd w:val="clear" w:color="000000" w:fill="DEEAF6"/>
            <w:vAlign w:val="center"/>
            <w:hideMark/>
          </w:tcPr>
          <w:p w14:paraId="020F28D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1A9FAE0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-0.014</w:t>
            </w:r>
          </w:p>
        </w:tc>
      </w:tr>
      <w:tr w:rsidR="00D90F01" w:rsidRPr="00D90F01" w14:paraId="77A4A346"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45236BF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Balanza Comercial de Mercancías de México</w:t>
            </w:r>
          </w:p>
        </w:tc>
        <w:tc>
          <w:tcPr>
            <w:tcW w:w="3544" w:type="dxa"/>
            <w:tcBorders>
              <w:top w:val="nil"/>
              <w:left w:val="nil"/>
              <w:bottom w:val="single" w:sz="8" w:space="0" w:color="BFBFBF"/>
              <w:right w:val="single" w:sz="8" w:space="0" w:color="BFBFBF"/>
            </w:tcBorders>
            <w:shd w:val="clear" w:color="000000" w:fill="DEEAF6"/>
            <w:vAlign w:val="center"/>
            <w:hideMark/>
          </w:tcPr>
          <w:p w14:paraId="7AF240E4"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Balanza Comercial de Mercancías de México (definitiva)</w:t>
            </w:r>
          </w:p>
        </w:tc>
        <w:tc>
          <w:tcPr>
            <w:tcW w:w="1701" w:type="dxa"/>
            <w:tcBorders>
              <w:top w:val="nil"/>
              <w:left w:val="nil"/>
              <w:bottom w:val="single" w:sz="8" w:space="0" w:color="BFBFBF"/>
              <w:right w:val="single" w:sz="8" w:space="0" w:color="BFBFBF"/>
            </w:tcBorders>
            <w:shd w:val="clear" w:color="000000" w:fill="DEEAF6"/>
            <w:noWrap/>
            <w:vAlign w:val="center"/>
            <w:hideMark/>
          </w:tcPr>
          <w:p w14:paraId="3AB05A5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1A85E06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213</w:t>
            </w:r>
          </w:p>
        </w:tc>
        <w:tc>
          <w:tcPr>
            <w:tcW w:w="1276" w:type="dxa"/>
            <w:tcBorders>
              <w:top w:val="nil"/>
              <w:left w:val="nil"/>
              <w:bottom w:val="single" w:sz="8" w:space="0" w:color="BFBFBF"/>
              <w:right w:val="single" w:sz="8" w:space="0" w:color="BFBFBF"/>
            </w:tcBorders>
            <w:shd w:val="clear" w:color="000000" w:fill="DEEAF6"/>
            <w:vAlign w:val="center"/>
            <w:hideMark/>
          </w:tcPr>
          <w:p w14:paraId="1CFF408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210</w:t>
            </w:r>
          </w:p>
        </w:tc>
        <w:tc>
          <w:tcPr>
            <w:tcW w:w="1959" w:type="dxa"/>
            <w:tcBorders>
              <w:top w:val="nil"/>
              <w:left w:val="nil"/>
              <w:bottom w:val="single" w:sz="8" w:space="0" w:color="BFBFBF"/>
              <w:right w:val="single" w:sz="8" w:space="0" w:color="BFBFBF"/>
            </w:tcBorders>
            <w:shd w:val="clear" w:color="000000" w:fill="DEEAF6"/>
            <w:vAlign w:val="center"/>
            <w:hideMark/>
          </w:tcPr>
          <w:p w14:paraId="075BB58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w:t>
            </w:r>
            <w:proofErr w:type="spellStart"/>
            <w:r w:rsidRPr="00D90F01">
              <w:rPr>
                <w:rFonts w:ascii="Century Gothic" w:eastAsia="Times New Roman" w:hAnsi="Century Gothic" w:cs="Calibri"/>
                <w:color w:val="000000"/>
                <w:sz w:val="17"/>
                <w:szCs w:val="17"/>
                <w:lang w:val="en-US"/>
              </w:rPr>
              <w:t>Estándar</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vAlign w:val="center"/>
            <w:hideMark/>
          </w:tcPr>
          <w:p w14:paraId="64504CF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-0.014</w:t>
            </w:r>
          </w:p>
        </w:tc>
      </w:tr>
      <w:tr w:rsidR="00D90F01" w:rsidRPr="00D90F01" w14:paraId="3118243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02189996"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Estadísticas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sobre</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Museos</w:t>
            </w:r>
            <w:proofErr w:type="spellEnd"/>
          </w:p>
        </w:tc>
        <w:tc>
          <w:tcPr>
            <w:tcW w:w="3544" w:type="dxa"/>
            <w:tcBorders>
              <w:top w:val="nil"/>
              <w:left w:val="nil"/>
              <w:bottom w:val="single" w:sz="8" w:space="0" w:color="BFBFBF"/>
              <w:right w:val="single" w:sz="8" w:space="0" w:color="BFBFBF"/>
            </w:tcBorders>
            <w:shd w:val="clear" w:color="000000" w:fill="DEEAF6"/>
            <w:vAlign w:val="center"/>
            <w:hideMark/>
          </w:tcPr>
          <w:p w14:paraId="04C8CB5D"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Estadísticas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sobre</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Museos</w:t>
            </w:r>
            <w:proofErr w:type="spellEnd"/>
          </w:p>
        </w:tc>
        <w:tc>
          <w:tcPr>
            <w:tcW w:w="1701" w:type="dxa"/>
            <w:tcBorders>
              <w:top w:val="nil"/>
              <w:left w:val="nil"/>
              <w:bottom w:val="single" w:sz="8" w:space="0" w:color="BFBFBF"/>
              <w:right w:val="single" w:sz="8" w:space="0" w:color="BFBFBF"/>
            </w:tcBorders>
            <w:shd w:val="clear" w:color="000000" w:fill="DEEAF6"/>
            <w:noWrap/>
            <w:vAlign w:val="center"/>
            <w:hideMark/>
          </w:tcPr>
          <w:p w14:paraId="262E674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5D3D245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182</w:t>
            </w:r>
          </w:p>
        </w:tc>
        <w:tc>
          <w:tcPr>
            <w:tcW w:w="1276" w:type="dxa"/>
            <w:tcBorders>
              <w:top w:val="nil"/>
              <w:left w:val="nil"/>
              <w:bottom w:val="single" w:sz="8" w:space="0" w:color="BFBFBF"/>
              <w:right w:val="single" w:sz="8" w:space="0" w:color="BFBFBF"/>
            </w:tcBorders>
            <w:shd w:val="clear" w:color="000000" w:fill="DEEAF6"/>
            <w:vAlign w:val="center"/>
            <w:hideMark/>
          </w:tcPr>
          <w:p w14:paraId="0DA7FD7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180</w:t>
            </w:r>
          </w:p>
        </w:tc>
        <w:tc>
          <w:tcPr>
            <w:tcW w:w="1959" w:type="dxa"/>
            <w:tcBorders>
              <w:top w:val="nil"/>
              <w:left w:val="nil"/>
              <w:bottom w:val="single" w:sz="8" w:space="0" w:color="BFBFBF"/>
              <w:right w:val="single" w:sz="8" w:space="0" w:color="BFBFBF"/>
            </w:tcBorders>
            <w:shd w:val="clear" w:color="000000" w:fill="DEEAF6"/>
            <w:vAlign w:val="center"/>
            <w:hideMark/>
          </w:tcPr>
          <w:p w14:paraId="00B407A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1595DBA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-0.011</w:t>
            </w:r>
          </w:p>
        </w:tc>
      </w:tr>
      <w:tr w:rsidR="00D90F01" w:rsidRPr="00D90F01" w14:paraId="0F350DC0"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631CD6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Regionales</w:t>
            </w:r>
          </w:p>
        </w:tc>
        <w:tc>
          <w:tcPr>
            <w:tcW w:w="3544" w:type="dxa"/>
            <w:tcBorders>
              <w:top w:val="nil"/>
              <w:left w:val="nil"/>
              <w:bottom w:val="single" w:sz="8" w:space="0" w:color="BFBFBF"/>
              <w:right w:val="single" w:sz="8" w:space="0" w:color="BFBFBF"/>
            </w:tcBorders>
            <w:shd w:val="clear" w:color="000000" w:fill="FFFFFF"/>
            <w:vAlign w:val="center"/>
            <w:hideMark/>
          </w:tcPr>
          <w:p w14:paraId="3FA09BFA"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Actividad</w:t>
            </w:r>
            <w:proofErr w:type="spellEnd"/>
            <w:r w:rsidRPr="00D90F01">
              <w:rPr>
                <w:rFonts w:ascii="Century Gothic" w:eastAsia="Times New Roman" w:hAnsi="Century Gothic" w:cs="Calibri"/>
                <w:color w:val="000000"/>
                <w:sz w:val="17"/>
                <w:szCs w:val="17"/>
                <w:lang w:val="en-US"/>
              </w:rPr>
              <w:t xml:space="preserve"> Industrial</w:t>
            </w:r>
          </w:p>
        </w:tc>
        <w:tc>
          <w:tcPr>
            <w:tcW w:w="1701" w:type="dxa"/>
            <w:tcBorders>
              <w:top w:val="nil"/>
              <w:left w:val="nil"/>
              <w:bottom w:val="single" w:sz="8" w:space="0" w:color="BFBFBF"/>
              <w:right w:val="single" w:sz="8" w:space="0" w:color="BFBFBF"/>
            </w:tcBorders>
            <w:shd w:val="clear" w:color="000000" w:fill="FFFFFF"/>
            <w:noWrap/>
            <w:vAlign w:val="center"/>
            <w:hideMark/>
          </w:tcPr>
          <w:p w14:paraId="0F8C9B9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20393F2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42.42</w:t>
            </w:r>
          </w:p>
        </w:tc>
        <w:tc>
          <w:tcPr>
            <w:tcW w:w="1276" w:type="dxa"/>
            <w:tcBorders>
              <w:top w:val="nil"/>
              <w:left w:val="nil"/>
              <w:bottom w:val="single" w:sz="8" w:space="0" w:color="BFBFBF"/>
              <w:right w:val="single" w:sz="8" w:space="0" w:color="BFBFBF"/>
            </w:tcBorders>
            <w:shd w:val="clear" w:color="000000" w:fill="FFFFFF"/>
            <w:vAlign w:val="center"/>
            <w:hideMark/>
          </w:tcPr>
          <w:p w14:paraId="4F38927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42</w:t>
            </w:r>
          </w:p>
        </w:tc>
        <w:tc>
          <w:tcPr>
            <w:tcW w:w="1959" w:type="dxa"/>
            <w:tcBorders>
              <w:top w:val="nil"/>
              <w:left w:val="nil"/>
              <w:bottom w:val="single" w:sz="8" w:space="0" w:color="BFBFBF"/>
              <w:right w:val="single" w:sz="8" w:space="0" w:color="BFBFBF"/>
            </w:tcBorders>
            <w:shd w:val="clear" w:color="000000" w:fill="FFFFFF"/>
            <w:vAlign w:val="center"/>
            <w:hideMark/>
          </w:tcPr>
          <w:p w14:paraId="485783C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w:t>
            </w:r>
            <w:proofErr w:type="spellStart"/>
            <w:r w:rsidRPr="00D90F01">
              <w:rPr>
                <w:rFonts w:ascii="Century Gothic" w:eastAsia="Times New Roman" w:hAnsi="Century Gothic" w:cs="Calibri"/>
                <w:color w:val="000000"/>
                <w:sz w:val="17"/>
                <w:szCs w:val="17"/>
                <w:lang w:val="en-US"/>
              </w:rPr>
              <w:t>Estándar</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FFFFFF"/>
            <w:vAlign w:val="center"/>
            <w:hideMark/>
          </w:tcPr>
          <w:p w14:paraId="6067F52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-0.010</w:t>
            </w:r>
          </w:p>
        </w:tc>
      </w:tr>
      <w:tr w:rsidR="00D90F01" w:rsidRPr="00D90F01" w14:paraId="31C07C0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015D28C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Regionales</w:t>
            </w:r>
          </w:p>
        </w:tc>
        <w:tc>
          <w:tcPr>
            <w:tcW w:w="3544" w:type="dxa"/>
            <w:tcBorders>
              <w:top w:val="nil"/>
              <w:left w:val="nil"/>
              <w:bottom w:val="single" w:sz="8" w:space="0" w:color="BFBFBF"/>
              <w:right w:val="single" w:sz="8" w:space="0" w:color="BFBFBF"/>
            </w:tcBorders>
            <w:shd w:val="clear" w:color="000000" w:fill="DEEAF6"/>
            <w:vAlign w:val="center"/>
            <w:hideMark/>
          </w:tcPr>
          <w:p w14:paraId="6DF27D0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 Trimestral de la Actividad Económica Estatal</w:t>
            </w:r>
          </w:p>
        </w:tc>
        <w:tc>
          <w:tcPr>
            <w:tcW w:w="1701" w:type="dxa"/>
            <w:tcBorders>
              <w:top w:val="nil"/>
              <w:left w:val="nil"/>
              <w:bottom w:val="single" w:sz="8" w:space="0" w:color="BFBFBF"/>
              <w:right w:val="single" w:sz="8" w:space="0" w:color="BFBFBF"/>
            </w:tcBorders>
            <w:shd w:val="clear" w:color="000000" w:fill="DEEAF6"/>
            <w:noWrap/>
            <w:vAlign w:val="center"/>
            <w:hideMark/>
          </w:tcPr>
          <w:p w14:paraId="0AB3B03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DEEAF6"/>
            <w:vAlign w:val="center"/>
            <w:hideMark/>
          </w:tcPr>
          <w:p w14:paraId="2A7B18C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120.5</w:t>
            </w:r>
          </w:p>
        </w:tc>
        <w:tc>
          <w:tcPr>
            <w:tcW w:w="1276" w:type="dxa"/>
            <w:tcBorders>
              <w:top w:val="nil"/>
              <w:left w:val="nil"/>
              <w:bottom w:val="single" w:sz="8" w:space="0" w:color="BFBFBF"/>
              <w:right w:val="single" w:sz="8" w:space="0" w:color="BFBFBF"/>
            </w:tcBorders>
            <w:shd w:val="clear" w:color="000000" w:fill="DEEAF6"/>
            <w:noWrap/>
            <w:vAlign w:val="center"/>
            <w:hideMark/>
          </w:tcPr>
          <w:p w14:paraId="4F73318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120</w:t>
            </w:r>
          </w:p>
        </w:tc>
        <w:tc>
          <w:tcPr>
            <w:tcW w:w="1959" w:type="dxa"/>
            <w:tcBorders>
              <w:top w:val="nil"/>
              <w:left w:val="nil"/>
              <w:bottom w:val="single" w:sz="8" w:space="0" w:color="BFBFBF"/>
              <w:right w:val="single" w:sz="8" w:space="0" w:color="BFBFBF"/>
            </w:tcBorders>
            <w:shd w:val="clear" w:color="000000" w:fill="DEEAF6"/>
            <w:vAlign w:val="center"/>
            <w:hideMark/>
          </w:tcPr>
          <w:p w14:paraId="113F3B8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L - </w:t>
            </w:r>
            <w:proofErr w:type="spellStart"/>
            <w:r w:rsidRPr="00D90F01">
              <w:rPr>
                <w:rFonts w:ascii="Century Gothic" w:eastAsia="Times New Roman" w:hAnsi="Century Gothic" w:cs="Calibri"/>
                <w:color w:val="000000"/>
                <w:sz w:val="17"/>
                <w:szCs w:val="17"/>
                <w:lang w:val="en-US"/>
              </w:rPr>
              <w:t>Lineamiento</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institucional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41DC0BE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-0.004</w:t>
            </w:r>
          </w:p>
        </w:tc>
      </w:tr>
      <w:tr w:rsidR="00D90F01" w:rsidRPr="00D90F01" w14:paraId="4E289CE6"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4063B2E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Poderes Legislativos Estatales</w:t>
            </w:r>
          </w:p>
        </w:tc>
        <w:tc>
          <w:tcPr>
            <w:tcW w:w="3544" w:type="dxa"/>
            <w:tcBorders>
              <w:top w:val="nil"/>
              <w:left w:val="nil"/>
              <w:bottom w:val="single" w:sz="8" w:space="0" w:color="BFBFBF"/>
              <w:right w:val="single" w:sz="8" w:space="0" w:color="BFBFBF"/>
            </w:tcBorders>
            <w:shd w:val="clear" w:color="000000" w:fill="DEEAF6"/>
            <w:vAlign w:val="center"/>
            <w:hideMark/>
          </w:tcPr>
          <w:p w14:paraId="4BD1FF0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Poderes Legislativos Estatales</w:t>
            </w:r>
          </w:p>
        </w:tc>
        <w:tc>
          <w:tcPr>
            <w:tcW w:w="1701" w:type="dxa"/>
            <w:tcBorders>
              <w:top w:val="nil"/>
              <w:left w:val="nil"/>
              <w:bottom w:val="single" w:sz="8" w:space="0" w:color="BFBFBF"/>
              <w:right w:val="single" w:sz="8" w:space="0" w:color="BFBFBF"/>
            </w:tcBorders>
            <w:shd w:val="clear" w:color="000000" w:fill="DEEAF6"/>
            <w:noWrap/>
            <w:vAlign w:val="center"/>
            <w:hideMark/>
          </w:tcPr>
          <w:p w14:paraId="5231D6E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5D0F606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343</w:t>
            </w:r>
          </w:p>
        </w:tc>
        <w:tc>
          <w:tcPr>
            <w:tcW w:w="1276" w:type="dxa"/>
            <w:tcBorders>
              <w:top w:val="nil"/>
              <w:left w:val="nil"/>
              <w:bottom w:val="single" w:sz="8" w:space="0" w:color="BFBFBF"/>
              <w:right w:val="single" w:sz="8" w:space="0" w:color="BFBFBF"/>
            </w:tcBorders>
            <w:shd w:val="clear" w:color="000000" w:fill="DEEAF6"/>
            <w:noWrap/>
            <w:vAlign w:val="center"/>
            <w:hideMark/>
          </w:tcPr>
          <w:p w14:paraId="31F2E1A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342</w:t>
            </w:r>
          </w:p>
        </w:tc>
        <w:tc>
          <w:tcPr>
            <w:tcW w:w="1959" w:type="dxa"/>
            <w:tcBorders>
              <w:top w:val="nil"/>
              <w:left w:val="nil"/>
              <w:bottom w:val="single" w:sz="8" w:space="0" w:color="BFBFBF"/>
              <w:right w:val="single" w:sz="8" w:space="0" w:color="BFBFBF"/>
            </w:tcBorders>
            <w:shd w:val="clear" w:color="000000" w:fill="DEEAF6"/>
            <w:vAlign w:val="center"/>
            <w:hideMark/>
          </w:tcPr>
          <w:p w14:paraId="4DC7BC6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I - </w:t>
            </w:r>
            <w:proofErr w:type="spellStart"/>
            <w:r w:rsidRPr="00D90F01">
              <w:rPr>
                <w:rFonts w:ascii="Century Gothic" w:eastAsia="Times New Roman" w:hAnsi="Century Gothic" w:cs="Calibri"/>
                <w:color w:val="000000"/>
                <w:sz w:val="17"/>
                <w:szCs w:val="17"/>
                <w:lang w:val="en-US"/>
              </w:rPr>
              <w:t>Propuesta</w:t>
            </w:r>
            <w:proofErr w:type="spellEnd"/>
            <w:r w:rsidRPr="00D90F01">
              <w:rPr>
                <w:rFonts w:ascii="Century Gothic" w:eastAsia="Times New Roman" w:hAnsi="Century Gothic" w:cs="Calibri"/>
                <w:color w:val="000000"/>
                <w:sz w:val="17"/>
                <w:szCs w:val="17"/>
                <w:lang w:val="en-US"/>
              </w:rPr>
              <w:t xml:space="preserve"> interna</w:t>
            </w:r>
          </w:p>
        </w:tc>
        <w:tc>
          <w:tcPr>
            <w:tcW w:w="851" w:type="dxa"/>
            <w:tcBorders>
              <w:top w:val="nil"/>
              <w:left w:val="nil"/>
              <w:bottom w:val="single" w:sz="8" w:space="0" w:color="BFBFBF"/>
              <w:right w:val="single" w:sz="8" w:space="0" w:color="BFBFBF"/>
            </w:tcBorders>
            <w:shd w:val="clear" w:color="000000" w:fill="DEEAF6"/>
            <w:noWrap/>
            <w:vAlign w:val="center"/>
            <w:hideMark/>
          </w:tcPr>
          <w:p w14:paraId="0292A09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-0.003</w:t>
            </w:r>
          </w:p>
        </w:tc>
      </w:tr>
      <w:tr w:rsidR="00D90F01" w:rsidRPr="00D90F01" w14:paraId="61BAF92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717F2A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3CC5E6DC"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Inversión Fija Bruta Indicador Mensual de la Formación Bruta de Capital Fijo. IMFBCF. Año base 2013. cambio</w:t>
            </w:r>
          </w:p>
        </w:tc>
        <w:tc>
          <w:tcPr>
            <w:tcW w:w="1701" w:type="dxa"/>
            <w:tcBorders>
              <w:top w:val="nil"/>
              <w:left w:val="nil"/>
              <w:bottom w:val="single" w:sz="8" w:space="0" w:color="BFBFBF"/>
              <w:right w:val="single" w:sz="8" w:space="0" w:color="BFBFBF"/>
            </w:tcBorders>
            <w:shd w:val="clear" w:color="000000" w:fill="FFFFFF"/>
            <w:noWrap/>
            <w:vAlign w:val="center"/>
            <w:hideMark/>
          </w:tcPr>
          <w:p w14:paraId="0F36641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34AB460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68.17</w:t>
            </w:r>
          </w:p>
        </w:tc>
        <w:tc>
          <w:tcPr>
            <w:tcW w:w="1276" w:type="dxa"/>
            <w:tcBorders>
              <w:top w:val="nil"/>
              <w:left w:val="nil"/>
              <w:bottom w:val="single" w:sz="8" w:space="0" w:color="BFBFBF"/>
              <w:right w:val="single" w:sz="8" w:space="0" w:color="BFBFBF"/>
            </w:tcBorders>
            <w:shd w:val="clear" w:color="000000" w:fill="FFFFFF"/>
            <w:noWrap/>
            <w:vAlign w:val="center"/>
            <w:hideMark/>
          </w:tcPr>
          <w:p w14:paraId="29A9B1A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68</w:t>
            </w:r>
          </w:p>
        </w:tc>
        <w:tc>
          <w:tcPr>
            <w:tcW w:w="1959" w:type="dxa"/>
            <w:tcBorders>
              <w:top w:val="nil"/>
              <w:left w:val="nil"/>
              <w:bottom w:val="single" w:sz="8" w:space="0" w:color="BFBFBF"/>
              <w:right w:val="single" w:sz="8" w:space="0" w:color="BFBFBF"/>
            </w:tcBorders>
            <w:shd w:val="clear" w:color="000000" w:fill="FFFFFF"/>
            <w:vAlign w:val="center"/>
            <w:hideMark/>
          </w:tcPr>
          <w:p w14:paraId="6E109E2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L - </w:t>
            </w:r>
            <w:proofErr w:type="spellStart"/>
            <w:r w:rsidRPr="00D90F01">
              <w:rPr>
                <w:rFonts w:ascii="Century Gothic" w:eastAsia="Times New Roman" w:hAnsi="Century Gothic" w:cs="Calibri"/>
                <w:color w:val="000000"/>
                <w:sz w:val="17"/>
                <w:szCs w:val="17"/>
                <w:lang w:val="en-US"/>
              </w:rPr>
              <w:t>Lineamiento</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institucional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0E90BD4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-0.003</w:t>
            </w:r>
          </w:p>
        </w:tc>
      </w:tr>
      <w:tr w:rsidR="00D90F01" w:rsidRPr="00D90F01" w14:paraId="79FBD2F1"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5CF63B1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Transparencia, Acceso a la Información Pública y Protección de Datos Personales Estatal</w:t>
            </w:r>
          </w:p>
        </w:tc>
        <w:tc>
          <w:tcPr>
            <w:tcW w:w="3544" w:type="dxa"/>
            <w:tcBorders>
              <w:top w:val="nil"/>
              <w:left w:val="nil"/>
              <w:bottom w:val="single" w:sz="8" w:space="0" w:color="BFBFBF"/>
              <w:right w:val="single" w:sz="8" w:space="0" w:color="BFBFBF"/>
            </w:tcBorders>
            <w:shd w:val="clear" w:color="000000" w:fill="FFFFFF"/>
            <w:vAlign w:val="center"/>
            <w:hideMark/>
          </w:tcPr>
          <w:p w14:paraId="6D46CCD5"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Transparencia, Acceso a la Información Pública y Protección de Datos Personales Estatal</w:t>
            </w:r>
          </w:p>
        </w:tc>
        <w:tc>
          <w:tcPr>
            <w:tcW w:w="1701" w:type="dxa"/>
            <w:tcBorders>
              <w:top w:val="nil"/>
              <w:left w:val="nil"/>
              <w:bottom w:val="single" w:sz="8" w:space="0" w:color="BFBFBF"/>
              <w:right w:val="single" w:sz="8" w:space="0" w:color="BFBFBF"/>
            </w:tcBorders>
            <w:shd w:val="clear" w:color="000000" w:fill="FFFFFF"/>
            <w:noWrap/>
            <w:vAlign w:val="center"/>
            <w:hideMark/>
          </w:tcPr>
          <w:p w14:paraId="502CE68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659509F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276" w:type="dxa"/>
            <w:tcBorders>
              <w:top w:val="nil"/>
              <w:left w:val="nil"/>
              <w:bottom w:val="single" w:sz="8" w:space="0" w:color="BFBFBF"/>
              <w:right w:val="single" w:sz="8" w:space="0" w:color="BFBFBF"/>
            </w:tcBorders>
            <w:shd w:val="clear" w:color="000000" w:fill="FFFFFF"/>
            <w:noWrap/>
            <w:vAlign w:val="center"/>
            <w:hideMark/>
          </w:tcPr>
          <w:p w14:paraId="21ACD7D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FFFFFF"/>
            <w:vAlign w:val="center"/>
            <w:hideMark/>
          </w:tcPr>
          <w:p w14:paraId="7EE073D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I - </w:t>
            </w:r>
            <w:proofErr w:type="spellStart"/>
            <w:r w:rsidRPr="00D90F01">
              <w:rPr>
                <w:rFonts w:ascii="Century Gothic" w:eastAsia="Times New Roman" w:hAnsi="Century Gothic" w:cs="Calibri"/>
                <w:color w:val="000000"/>
                <w:sz w:val="17"/>
                <w:szCs w:val="17"/>
                <w:lang w:val="en-US"/>
              </w:rPr>
              <w:t>Propuesta</w:t>
            </w:r>
            <w:proofErr w:type="spellEnd"/>
            <w:r w:rsidRPr="00D90F01">
              <w:rPr>
                <w:rFonts w:ascii="Century Gothic" w:eastAsia="Times New Roman" w:hAnsi="Century Gothic" w:cs="Calibri"/>
                <w:color w:val="000000"/>
                <w:sz w:val="17"/>
                <w:szCs w:val="17"/>
                <w:lang w:val="en-US"/>
              </w:rPr>
              <w:t xml:space="preserve"> interna</w:t>
            </w:r>
          </w:p>
        </w:tc>
        <w:tc>
          <w:tcPr>
            <w:tcW w:w="851" w:type="dxa"/>
            <w:tcBorders>
              <w:top w:val="nil"/>
              <w:left w:val="nil"/>
              <w:bottom w:val="single" w:sz="8" w:space="0" w:color="BFBFBF"/>
              <w:right w:val="single" w:sz="8" w:space="0" w:color="BFBFBF"/>
            </w:tcBorders>
            <w:shd w:val="clear" w:color="000000" w:fill="FFFFFF"/>
            <w:noWrap/>
            <w:vAlign w:val="center"/>
            <w:hideMark/>
          </w:tcPr>
          <w:p w14:paraId="03CA110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0.000</w:t>
            </w:r>
          </w:p>
        </w:tc>
      </w:tr>
      <w:tr w:rsidR="00D90F01" w:rsidRPr="00D90F01" w14:paraId="0F152B3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4CD8577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Transparencia, Acceso a la Información Pública y Protección de Datos Personales Federal</w:t>
            </w:r>
          </w:p>
        </w:tc>
        <w:tc>
          <w:tcPr>
            <w:tcW w:w="3544" w:type="dxa"/>
            <w:tcBorders>
              <w:top w:val="nil"/>
              <w:left w:val="nil"/>
              <w:bottom w:val="single" w:sz="8" w:space="0" w:color="BFBFBF"/>
              <w:right w:val="single" w:sz="8" w:space="0" w:color="BFBFBF"/>
            </w:tcBorders>
            <w:shd w:val="clear" w:color="000000" w:fill="FFFFFF"/>
            <w:vAlign w:val="center"/>
            <w:hideMark/>
          </w:tcPr>
          <w:p w14:paraId="22A1650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Transparencia, Acceso a la Información Pública y Protección de Datos Personales Federal</w:t>
            </w:r>
          </w:p>
        </w:tc>
        <w:tc>
          <w:tcPr>
            <w:tcW w:w="1701" w:type="dxa"/>
            <w:tcBorders>
              <w:top w:val="nil"/>
              <w:left w:val="nil"/>
              <w:bottom w:val="single" w:sz="8" w:space="0" w:color="BFBFBF"/>
              <w:right w:val="single" w:sz="8" w:space="0" w:color="BFBFBF"/>
            </w:tcBorders>
            <w:shd w:val="clear" w:color="000000" w:fill="FFFFFF"/>
            <w:noWrap/>
            <w:vAlign w:val="center"/>
            <w:hideMark/>
          </w:tcPr>
          <w:p w14:paraId="24AC7DE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0865E22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276" w:type="dxa"/>
            <w:tcBorders>
              <w:top w:val="nil"/>
              <w:left w:val="nil"/>
              <w:bottom w:val="single" w:sz="8" w:space="0" w:color="BFBFBF"/>
              <w:right w:val="single" w:sz="8" w:space="0" w:color="BFBFBF"/>
            </w:tcBorders>
            <w:shd w:val="clear" w:color="000000" w:fill="FFFFFF"/>
            <w:noWrap/>
            <w:vAlign w:val="center"/>
            <w:hideMark/>
          </w:tcPr>
          <w:p w14:paraId="47A1BB9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FFFFFF"/>
            <w:vAlign w:val="center"/>
            <w:hideMark/>
          </w:tcPr>
          <w:p w14:paraId="22A6B6B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I - </w:t>
            </w:r>
            <w:proofErr w:type="spellStart"/>
            <w:r w:rsidRPr="00D90F01">
              <w:rPr>
                <w:rFonts w:ascii="Century Gothic" w:eastAsia="Times New Roman" w:hAnsi="Century Gothic" w:cs="Calibri"/>
                <w:color w:val="000000"/>
                <w:sz w:val="17"/>
                <w:szCs w:val="17"/>
                <w:lang w:val="en-US"/>
              </w:rPr>
              <w:t>Propuesta</w:t>
            </w:r>
            <w:proofErr w:type="spellEnd"/>
            <w:r w:rsidRPr="00D90F01">
              <w:rPr>
                <w:rFonts w:ascii="Century Gothic" w:eastAsia="Times New Roman" w:hAnsi="Century Gothic" w:cs="Calibri"/>
                <w:color w:val="000000"/>
                <w:sz w:val="17"/>
                <w:szCs w:val="17"/>
                <w:lang w:val="en-US"/>
              </w:rPr>
              <w:t xml:space="preserve"> interna</w:t>
            </w:r>
          </w:p>
        </w:tc>
        <w:tc>
          <w:tcPr>
            <w:tcW w:w="851" w:type="dxa"/>
            <w:tcBorders>
              <w:top w:val="nil"/>
              <w:left w:val="nil"/>
              <w:bottom w:val="single" w:sz="8" w:space="0" w:color="BFBFBF"/>
              <w:right w:val="single" w:sz="8" w:space="0" w:color="BFBFBF"/>
            </w:tcBorders>
            <w:shd w:val="clear" w:color="000000" w:fill="FFFFFF"/>
            <w:noWrap/>
            <w:vAlign w:val="center"/>
            <w:hideMark/>
          </w:tcPr>
          <w:p w14:paraId="70BC9E6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0.000</w:t>
            </w:r>
          </w:p>
        </w:tc>
      </w:tr>
      <w:tr w:rsidR="00D90F01" w:rsidRPr="00D90F01" w14:paraId="3E29B21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A286C9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3BDAEE3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Estimación Oportuna del Producto Interno Bruto</w:t>
            </w:r>
          </w:p>
        </w:tc>
        <w:tc>
          <w:tcPr>
            <w:tcW w:w="1701" w:type="dxa"/>
            <w:tcBorders>
              <w:top w:val="nil"/>
              <w:left w:val="nil"/>
              <w:bottom w:val="single" w:sz="8" w:space="0" w:color="BFBFBF"/>
              <w:right w:val="single" w:sz="8" w:space="0" w:color="BFBFBF"/>
            </w:tcBorders>
            <w:shd w:val="clear" w:color="000000" w:fill="FFFFFF"/>
            <w:noWrap/>
            <w:vAlign w:val="center"/>
            <w:hideMark/>
          </w:tcPr>
          <w:p w14:paraId="58F19C8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FFFFFF"/>
            <w:vAlign w:val="center"/>
            <w:hideMark/>
          </w:tcPr>
          <w:p w14:paraId="480DE99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w:t>
            </w:r>
          </w:p>
        </w:tc>
        <w:tc>
          <w:tcPr>
            <w:tcW w:w="1276" w:type="dxa"/>
            <w:tcBorders>
              <w:top w:val="nil"/>
              <w:left w:val="nil"/>
              <w:bottom w:val="single" w:sz="8" w:space="0" w:color="BFBFBF"/>
              <w:right w:val="single" w:sz="8" w:space="0" w:color="BFBFBF"/>
            </w:tcBorders>
            <w:shd w:val="clear" w:color="000000" w:fill="FFFFFF"/>
            <w:vAlign w:val="center"/>
            <w:hideMark/>
          </w:tcPr>
          <w:p w14:paraId="58C8035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w:t>
            </w:r>
          </w:p>
        </w:tc>
        <w:tc>
          <w:tcPr>
            <w:tcW w:w="1959" w:type="dxa"/>
            <w:tcBorders>
              <w:top w:val="nil"/>
              <w:left w:val="nil"/>
              <w:bottom w:val="single" w:sz="8" w:space="0" w:color="BFBFBF"/>
              <w:right w:val="single" w:sz="8" w:space="0" w:color="BFBFBF"/>
            </w:tcBorders>
            <w:shd w:val="clear" w:color="000000" w:fill="FFFFFF"/>
            <w:vAlign w:val="center"/>
            <w:hideMark/>
          </w:tcPr>
          <w:p w14:paraId="0C34787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w:t>
            </w:r>
            <w:proofErr w:type="spellStart"/>
            <w:r w:rsidRPr="00D90F01">
              <w:rPr>
                <w:rFonts w:ascii="Century Gothic" w:eastAsia="Times New Roman" w:hAnsi="Century Gothic" w:cs="Calibri"/>
                <w:color w:val="000000"/>
                <w:sz w:val="17"/>
                <w:szCs w:val="17"/>
                <w:lang w:val="en-US"/>
              </w:rPr>
              <w:t>Estándar</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FFFFFF"/>
            <w:vAlign w:val="center"/>
            <w:hideMark/>
          </w:tcPr>
          <w:p w14:paraId="53FD797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0.000</w:t>
            </w:r>
          </w:p>
        </w:tc>
      </w:tr>
      <w:tr w:rsidR="00D90F01" w:rsidRPr="00D90F01" w14:paraId="2CC7FFF1"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60A1A006"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Red Nacional de Caminos</w:t>
            </w:r>
          </w:p>
        </w:tc>
        <w:tc>
          <w:tcPr>
            <w:tcW w:w="3544" w:type="dxa"/>
            <w:tcBorders>
              <w:top w:val="nil"/>
              <w:left w:val="nil"/>
              <w:bottom w:val="single" w:sz="8" w:space="0" w:color="BFBFBF"/>
              <w:right w:val="single" w:sz="8" w:space="0" w:color="BFBFBF"/>
            </w:tcBorders>
            <w:shd w:val="clear" w:color="000000" w:fill="FFFFFF"/>
            <w:vAlign w:val="center"/>
            <w:hideMark/>
          </w:tcPr>
          <w:p w14:paraId="33850290"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Red Nacional de Caminos</w:t>
            </w:r>
          </w:p>
        </w:tc>
        <w:tc>
          <w:tcPr>
            <w:tcW w:w="1701" w:type="dxa"/>
            <w:tcBorders>
              <w:top w:val="nil"/>
              <w:left w:val="nil"/>
              <w:bottom w:val="single" w:sz="8" w:space="0" w:color="BFBFBF"/>
              <w:right w:val="single" w:sz="8" w:space="0" w:color="BFBFBF"/>
            </w:tcBorders>
            <w:shd w:val="clear" w:color="000000" w:fill="FFFFFF"/>
            <w:noWrap/>
            <w:vAlign w:val="center"/>
            <w:hideMark/>
          </w:tcPr>
          <w:p w14:paraId="10C015D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3413D16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60</w:t>
            </w:r>
          </w:p>
        </w:tc>
        <w:tc>
          <w:tcPr>
            <w:tcW w:w="1276" w:type="dxa"/>
            <w:tcBorders>
              <w:top w:val="nil"/>
              <w:left w:val="nil"/>
              <w:bottom w:val="single" w:sz="8" w:space="0" w:color="BFBFBF"/>
              <w:right w:val="single" w:sz="8" w:space="0" w:color="BFBFBF"/>
            </w:tcBorders>
            <w:shd w:val="clear" w:color="000000" w:fill="FFFFFF"/>
            <w:noWrap/>
            <w:vAlign w:val="center"/>
            <w:hideMark/>
          </w:tcPr>
          <w:p w14:paraId="7754F12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60</w:t>
            </w:r>
          </w:p>
        </w:tc>
        <w:tc>
          <w:tcPr>
            <w:tcW w:w="1959" w:type="dxa"/>
            <w:tcBorders>
              <w:top w:val="nil"/>
              <w:left w:val="nil"/>
              <w:bottom w:val="single" w:sz="8" w:space="0" w:color="BFBFBF"/>
              <w:right w:val="single" w:sz="8" w:space="0" w:color="BFBFBF"/>
            </w:tcBorders>
            <w:shd w:val="clear" w:color="000000" w:fill="FFFFFF"/>
            <w:vAlign w:val="center"/>
            <w:hideMark/>
          </w:tcPr>
          <w:p w14:paraId="10B50AE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I - </w:t>
            </w:r>
            <w:proofErr w:type="spellStart"/>
            <w:r w:rsidRPr="00D90F01">
              <w:rPr>
                <w:rFonts w:ascii="Century Gothic" w:eastAsia="Times New Roman" w:hAnsi="Century Gothic" w:cs="Calibri"/>
                <w:color w:val="000000"/>
                <w:sz w:val="17"/>
                <w:szCs w:val="17"/>
                <w:lang w:val="en-US"/>
              </w:rPr>
              <w:t>Propuesta</w:t>
            </w:r>
            <w:proofErr w:type="spellEnd"/>
            <w:r w:rsidRPr="00D90F01">
              <w:rPr>
                <w:rFonts w:ascii="Century Gothic" w:eastAsia="Times New Roman" w:hAnsi="Century Gothic" w:cs="Calibri"/>
                <w:color w:val="000000"/>
                <w:sz w:val="17"/>
                <w:szCs w:val="17"/>
                <w:lang w:val="en-US"/>
              </w:rPr>
              <w:t xml:space="preserve"> interna</w:t>
            </w:r>
          </w:p>
        </w:tc>
        <w:tc>
          <w:tcPr>
            <w:tcW w:w="851" w:type="dxa"/>
            <w:tcBorders>
              <w:top w:val="nil"/>
              <w:left w:val="nil"/>
              <w:bottom w:val="single" w:sz="8" w:space="0" w:color="BFBFBF"/>
              <w:right w:val="single" w:sz="8" w:space="0" w:color="BFBFBF"/>
            </w:tcBorders>
            <w:shd w:val="clear" w:color="000000" w:fill="FFFFFF"/>
            <w:noWrap/>
            <w:vAlign w:val="center"/>
            <w:hideMark/>
          </w:tcPr>
          <w:p w14:paraId="0C6F818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0.000</w:t>
            </w:r>
          </w:p>
        </w:tc>
      </w:tr>
      <w:tr w:rsidR="00D90F01" w:rsidRPr="00D90F01" w14:paraId="4E55125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FB27E5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Derechos Humanos Estatal</w:t>
            </w:r>
          </w:p>
        </w:tc>
        <w:tc>
          <w:tcPr>
            <w:tcW w:w="3544" w:type="dxa"/>
            <w:tcBorders>
              <w:top w:val="nil"/>
              <w:left w:val="nil"/>
              <w:bottom w:val="single" w:sz="8" w:space="0" w:color="BFBFBF"/>
              <w:right w:val="single" w:sz="8" w:space="0" w:color="BFBFBF"/>
            </w:tcBorders>
            <w:shd w:val="clear" w:color="000000" w:fill="FFFFFF"/>
            <w:vAlign w:val="center"/>
            <w:hideMark/>
          </w:tcPr>
          <w:p w14:paraId="4DA6B05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Derechos Humanos Estatal</w:t>
            </w:r>
          </w:p>
        </w:tc>
        <w:tc>
          <w:tcPr>
            <w:tcW w:w="1701" w:type="dxa"/>
            <w:tcBorders>
              <w:top w:val="nil"/>
              <w:left w:val="nil"/>
              <w:bottom w:val="single" w:sz="8" w:space="0" w:color="BFBFBF"/>
              <w:right w:val="single" w:sz="8" w:space="0" w:color="BFBFBF"/>
            </w:tcBorders>
            <w:shd w:val="clear" w:color="000000" w:fill="FFFFFF"/>
            <w:noWrap/>
            <w:vAlign w:val="center"/>
            <w:hideMark/>
          </w:tcPr>
          <w:p w14:paraId="0EC8E649"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4C3733B8" w14:textId="77777777" w:rsidR="00D90F01" w:rsidRPr="00D90F01" w:rsidRDefault="00D90F01" w:rsidP="00D90F01">
            <w:pPr>
              <w:spacing w:after="0" w:line="240" w:lineRule="auto"/>
              <w:jc w:val="right"/>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345</w:t>
            </w:r>
          </w:p>
        </w:tc>
        <w:tc>
          <w:tcPr>
            <w:tcW w:w="1276" w:type="dxa"/>
            <w:tcBorders>
              <w:top w:val="nil"/>
              <w:left w:val="nil"/>
              <w:bottom w:val="single" w:sz="8" w:space="0" w:color="BFBFBF"/>
              <w:right w:val="single" w:sz="8" w:space="0" w:color="BFBFBF"/>
            </w:tcBorders>
            <w:shd w:val="clear" w:color="000000" w:fill="FFFFFF"/>
            <w:noWrap/>
            <w:vAlign w:val="center"/>
            <w:hideMark/>
          </w:tcPr>
          <w:p w14:paraId="7CC7F255" w14:textId="77777777" w:rsidR="00D90F01" w:rsidRPr="00D90F01" w:rsidRDefault="00D90F01" w:rsidP="00D90F01">
            <w:pPr>
              <w:spacing w:after="0" w:line="240" w:lineRule="auto"/>
              <w:jc w:val="right"/>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347</w:t>
            </w:r>
          </w:p>
        </w:tc>
        <w:tc>
          <w:tcPr>
            <w:tcW w:w="1959" w:type="dxa"/>
            <w:tcBorders>
              <w:top w:val="nil"/>
              <w:left w:val="nil"/>
              <w:bottom w:val="single" w:sz="8" w:space="0" w:color="BFBFBF"/>
              <w:right w:val="single" w:sz="8" w:space="0" w:color="BFBFBF"/>
            </w:tcBorders>
            <w:shd w:val="clear" w:color="000000" w:fill="FFFFFF"/>
            <w:vAlign w:val="center"/>
            <w:hideMark/>
          </w:tcPr>
          <w:p w14:paraId="1DA89494"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I - </w:t>
            </w:r>
            <w:proofErr w:type="spellStart"/>
            <w:r w:rsidRPr="00D90F01">
              <w:rPr>
                <w:rFonts w:ascii="Century Gothic" w:eastAsia="Times New Roman" w:hAnsi="Century Gothic" w:cs="Calibri"/>
                <w:color w:val="000000"/>
                <w:sz w:val="17"/>
                <w:szCs w:val="17"/>
                <w:lang w:val="en-US"/>
              </w:rPr>
              <w:t>Propuesta</w:t>
            </w:r>
            <w:proofErr w:type="spellEnd"/>
            <w:r w:rsidRPr="00D90F01">
              <w:rPr>
                <w:rFonts w:ascii="Century Gothic" w:eastAsia="Times New Roman" w:hAnsi="Century Gothic" w:cs="Calibri"/>
                <w:color w:val="000000"/>
                <w:sz w:val="17"/>
                <w:szCs w:val="17"/>
                <w:lang w:val="en-US"/>
              </w:rPr>
              <w:t xml:space="preserve"> interna</w:t>
            </w:r>
          </w:p>
        </w:tc>
        <w:tc>
          <w:tcPr>
            <w:tcW w:w="851" w:type="dxa"/>
            <w:tcBorders>
              <w:top w:val="nil"/>
              <w:left w:val="nil"/>
              <w:bottom w:val="single" w:sz="8" w:space="0" w:color="BFBFBF"/>
              <w:right w:val="single" w:sz="8" w:space="0" w:color="BFBFBF"/>
            </w:tcBorders>
            <w:shd w:val="clear" w:color="000000" w:fill="FFFFFF"/>
            <w:noWrap/>
            <w:vAlign w:val="center"/>
            <w:hideMark/>
          </w:tcPr>
          <w:p w14:paraId="6758A23E" w14:textId="77777777" w:rsidR="00D90F01" w:rsidRPr="00D90F01" w:rsidRDefault="00D90F01" w:rsidP="00D90F01">
            <w:pPr>
              <w:spacing w:after="0" w:line="240" w:lineRule="auto"/>
              <w:jc w:val="right"/>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0.006</w:t>
            </w:r>
          </w:p>
        </w:tc>
      </w:tr>
      <w:tr w:rsidR="00D90F01" w:rsidRPr="00D90F01" w14:paraId="0255E0F0"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0AE84E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Impartición de Justicia Estatal</w:t>
            </w:r>
          </w:p>
        </w:tc>
        <w:tc>
          <w:tcPr>
            <w:tcW w:w="3544" w:type="dxa"/>
            <w:tcBorders>
              <w:top w:val="nil"/>
              <w:left w:val="nil"/>
              <w:bottom w:val="single" w:sz="8" w:space="0" w:color="BFBFBF"/>
              <w:right w:val="single" w:sz="8" w:space="0" w:color="BFBFBF"/>
            </w:tcBorders>
            <w:shd w:val="clear" w:color="000000" w:fill="DEEAF6"/>
            <w:vAlign w:val="center"/>
            <w:hideMark/>
          </w:tcPr>
          <w:p w14:paraId="322E5DB4"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Impartición de Justicia Estatal</w:t>
            </w:r>
          </w:p>
        </w:tc>
        <w:tc>
          <w:tcPr>
            <w:tcW w:w="1701" w:type="dxa"/>
            <w:tcBorders>
              <w:top w:val="nil"/>
              <w:left w:val="nil"/>
              <w:bottom w:val="single" w:sz="8" w:space="0" w:color="BFBFBF"/>
              <w:right w:val="single" w:sz="8" w:space="0" w:color="BFBFBF"/>
            </w:tcBorders>
            <w:shd w:val="clear" w:color="000000" w:fill="DEEAF6"/>
            <w:noWrap/>
            <w:vAlign w:val="center"/>
            <w:hideMark/>
          </w:tcPr>
          <w:p w14:paraId="37CD818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61F0032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296</w:t>
            </w:r>
          </w:p>
        </w:tc>
        <w:tc>
          <w:tcPr>
            <w:tcW w:w="1276" w:type="dxa"/>
            <w:tcBorders>
              <w:top w:val="nil"/>
              <w:left w:val="nil"/>
              <w:bottom w:val="single" w:sz="8" w:space="0" w:color="BFBFBF"/>
              <w:right w:val="single" w:sz="8" w:space="0" w:color="BFBFBF"/>
            </w:tcBorders>
            <w:shd w:val="clear" w:color="000000" w:fill="DEEAF6"/>
            <w:noWrap/>
            <w:vAlign w:val="center"/>
            <w:hideMark/>
          </w:tcPr>
          <w:p w14:paraId="4FB5851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DEEAF6"/>
            <w:vAlign w:val="center"/>
            <w:hideMark/>
          </w:tcPr>
          <w:p w14:paraId="01C0D89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I - </w:t>
            </w:r>
            <w:proofErr w:type="spellStart"/>
            <w:r w:rsidRPr="00D90F01">
              <w:rPr>
                <w:rFonts w:ascii="Century Gothic" w:eastAsia="Times New Roman" w:hAnsi="Century Gothic" w:cs="Calibri"/>
                <w:color w:val="000000"/>
                <w:sz w:val="17"/>
                <w:szCs w:val="17"/>
                <w:lang w:val="en-US"/>
              </w:rPr>
              <w:t>Propuesta</w:t>
            </w:r>
            <w:proofErr w:type="spellEnd"/>
            <w:r w:rsidRPr="00D90F01">
              <w:rPr>
                <w:rFonts w:ascii="Century Gothic" w:eastAsia="Times New Roman" w:hAnsi="Century Gothic" w:cs="Calibri"/>
                <w:color w:val="000000"/>
                <w:sz w:val="17"/>
                <w:szCs w:val="17"/>
                <w:lang w:val="en-US"/>
              </w:rPr>
              <w:t xml:space="preserve"> interna</w:t>
            </w:r>
          </w:p>
        </w:tc>
        <w:tc>
          <w:tcPr>
            <w:tcW w:w="851" w:type="dxa"/>
            <w:tcBorders>
              <w:top w:val="nil"/>
              <w:left w:val="nil"/>
              <w:bottom w:val="single" w:sz="8" w:space="0" w:color="BFBFBF"/>
              <w:right w:val="single" w:sz="8" w:space="0" w:color="BFBFBF"/>
            </w:tcBorders>
            <w:shd w:val="clear" w:color="000000" w:fill="DEEAF6"/>
            <w:noWrap/>
            <w:vAlign w:val="center"/>
            <w:hideMark/>
          </w:tcPr>
          <w:p w14:paraId="5E41188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0.013</w:t>
            </w:r>
          </w:p>
        </w:tc>
      </w:tr>
      <w:tr w:rsidR="00D90F01" w:rsidRPr="00D90F01" w14:paraId="63CA38D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3A31A06"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Impartición de Justicia Federal</w:t>
            </w:r>
          </w:p>
        </w:tc>
        <w:tc>
          <w:tcPr>
            <w:tcW w:w="3544" w:type="dxa"/>
            <w:tcBorders>
              <w:top w:val="nil"/>
              <w:left w:val="nil"/>
              <w:bottom w:val="single" w:sz="8" w:space="0" w:color="BFBFBF"/>
              <w:right w:val="single" w:sz="8" w:space="0" w:color="BFBFBF"/>
            </w:tcBorders>
            <w:shd w:val="clear" w:color="000000" w:fill="DEEAF6"/>
            <w:vAlign w:val="center"/>
            <w:hideMark/>
          </w:tcPr>
          <w:p w14:paraId="132A32EC"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Impartición de Justicia Federal</w:t>
            </w:r>
          </w:p>
        </w:tc>
        <w:tc>
          <w:tcPr>
            <w:tcW w:w="1701" w:type="dxa"/>
            <w:tcBorders>
              <w:top w:val="nil"/>
              <w:left w:val="nil"/>
              <w:bottom w:val="single" w:sz="8" w:space="0" w:color="BFBFBF"/>
              <w:right w:val="single" w:sz="8" w:space="0" w:color="BFBFBF"/>
            </w:tcBorders>
            <w:shd w:val="clear" w:color="000000" w:fill="DEEAF6"/>
            <w:noWrap/>
            <w:vAlign w:val="center"/>
            <w:hideMark/>
          </w:tcPr>
          <w:p w14:paraId="54F050F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225DF2C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184</w:t>
            </w:r>
          </w:p>
        </w:tc>
        <w:tc>
          <w:tcPr>
            <w:tcW w:w="1276" w:type="dxa"/>
            <w:tcBorders>
              <w:top w:val="nil"/>
              <w:left w:val="nil"/>
              <w:bottom w:val="single" w:sz="8" w:space="0" w:color="BFBFBF"/>
              <w:right w:val="single" w:sz="8" w:space="0" w:color="BFBFBF"/>
            </w:tcBorders>
            <w:shd w:val="clear" w:color="000000" w:fill="DEEAF6"/>
            <w:noWrap/>
            <w:vAlign w:val="center"/>
            <w:hideMark/>
          </w:tcPr>
          <w:p w14:paraId="0937DC9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187</w:t>
            </w:r>
          </w:p>
        </w:tc>
        <w:tc>
          <w:tcPr>
            <w:tcW w:w="1959" w:type="dxa"/>
            <w:tcBorders>
              <w:top w:val="nil"/>
              <w:left w:val="nil"/>
              <w:bottom w:val="single" w:sz="8" w:space="0" w:color="BFBFBF"/>
              <w:right w:val="single" w:sz="8" w:space="0" w:color="BFBFBF"/>
            </w:tcBorders>
            <w:shd w:val="clear" w:color="000000" w:fill="DEEAF6"/>
            <w:vAlign w:val="center"/>
            <w:hideMark/>
          </w:tcPr>
          <w:p w14:paraId="3F156E7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I - </w:t>
            </w:r>
            <w:proofErr w:type="spellStart"/>
            <w:r w:rsidRPr="00D90F01">
              <w:rPr>
                <w:rFonts w:ascii="Century Gothic" w:eastAsia="Times New Roman" w:hAnsi="Century Gothic" w:cs="Calibri"/>
                <w:color w:val="000000"/>
                <w:sz w:val="17"/>
                <w:szCs w:val="17"/>
                <w:lang w:val="en-US"/>
              </w:rPr>
              <w:t>Propuesta</w:t>
            </w:r>
            <w:proofErr w:type="spellEnd"/>
            <w:r w:rsidRPr="00D90F01">
              <w:rPr>
                <w:rFonts w:ascii="Century Gothic" w:eastAsia="Times New Roman" w:hAnsi="Century Gothic" w:cs="Calibri"/>
                <w:color w:val="000000"/>
                <w:sz w:val="17"/>
                <w:szCs w:val="17"/>
                <w:lang w:val="en-US"/>
              </w:rPr>
              <w:t xml:space="preserve"> interna</w:t>
            </w:r>
          </w:p>
        </w:tc>
        <w:tc>
          <w:tcPr>
            <w:tcW w:w="851" w:type="dxa"/>
            <w:tcBorders>
              <w:top w:val="nil"/>
              <w:left w:val="nil"/>
              <w:bottom w:val="single" w:sz="8" w:space="0" w:color="BFBFBF"/>
              <w:right w:val="single" w:sz="8" w:space="0" w:color="BFBFBF"/>
            </w:tcBorders>
            <w:shd w:val="clear" w:color="000000" w:fill="DEEAF6"/>
            <w:noWrap/>
            <w:vAlign w:val="center"/>
            <w:hideMark/>
          </w:tcPr>
          <w:p w14:paraId="343B58C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0.016</w:t>
            </w:r>
          </w:p>
        </w:tc>
      </w:tr>
      <w:tr w:rsidR="00D90F01" w:rsidRPr="00D90F01" w14:paraId="687B829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5FF45D4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Procuración de Justicia Estatal</w:t>
            </w:r>
          </w:p>
        </w:tc>
        <w:tc>
          <w:tcPr>
            <w:tcW w:w="3544" w:type="dxa"/>
            <w:tcBorders>
              <w:top w:val="nil"/>
              <w:left w:val="nil"/>
              <w:bottom w:val="single" w:sz="8" w:space="0" w:color="BFBFBF"/>
              <w:right w:val="single" w:sz="8" w:space="0" w:color="BFBFBF"/>
            </w:tcBorders>
            <w:shd w:val="clear" w:color="000000" w:fill="DEEAF6"/>
            <w:vAlign w:val="center"/>
            <w:hideMark/>
          </w:tcPr>
          <w:p w14:paraId="3CAC968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Procuración de Justicia Estatal</w:t>
            </w:r>
          </w:p>
        </w:tc>
        <w:tc>
          <w:tcPr>
            <w:tcW w:w="1701" w:type="dxa"/>
            <w:tcBorders>
              <w:top w:val="nil"/>
              <w:left w:val="nil"/>
              <w:bottom w:val="single" w:sz="8" w:space="0" w:color="BFBFBF"/>
              <w:right w:val="single" w:sz="8" w:space="0" w:color="BFBFBF"/>
            </w:tcBorders>
            <w:shd w:val="clear" w:color="000000" w:fill="DEEAF6"/>
            <w:noWrap/>
            <w:vAlign w:val="center"/>
            <w:hideMark/>
          </w:tcPr>
          <w:p w14:paraId="4417E2C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6362EFE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295</w:t>
            </w:r>
          </w:p>
        </w:tc>
        <w:tc>
          <w:tcPr>
            <w:tcW w:w="1276" w:type="dxa"/>
            <w:tcBorders>
              <w:top w:val="nil"/>
              <w:left w:val="nil"/>
              <w:bottom w:val="single" w:sz="8" w:space="0" w:color="BFBFBF"/>
              <w:right w:val="single" w:sz="8" w:space="0" w:color="BFBFBF"/>
            </w:tcBorders>
            <w:shd w:val="clear" w:color="000000" w:fill="DEEAF6"/>
            <w:noWrap/>
            <w:vAlign w:val="center"/>
            <w:hideMark/>
          </w:tcPr>
          <w:p w14:paraId="659AA9C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DEEAF6"/>
            <w:vAlign w:val="center"/>
            <w:hideMark/>
          </w:tcPr>
          <w:p w14:paraId="796FA22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I - </w:t>
            </w:r>
            <w:proofErr w:type="spellStart"/>
            <w:r w:rsidRPr="00D90F01">
              <w:rPr>
                <w:rFonts w:ascii="Century Gothic" w:eastAsia="Times New Roman" w:hAnsi="Century Gothic" w:cs="Calibri"/>
                <w:color w:val="000000"/>
                <w:sz w:val="17"/>
                <w:szCs w:val="17"/>
                <w:lang w:val="en-US"/>
              </w:rPr>
              <w:t>Propuesta</w:t>
            </w:r>
            <w:proofErr w:type="spellEnd"/>
            <w:r w:rsidRPr="00D90F01">
              <w:rPr>
                <w:rFonts w:ascii="Century Gothic" w:eastAsia="Times New Roman" w:hAnsi="Century Gothic" w:cs="Calibri"/>
                <w:color w:val="000000"/>
                <w:sz w:val="17"/>
                <w:szCs w:val="17"/>
                <w:lang w:val="en-US"/>
              </w:rPr>
              <w:t xml:space="preserve"> interna</w:t>
            </w:r>
          </w:p>
        </w:tc>
        <w:tc>
          <w:tcPr>
            <w:tcW w:w="851" w:type="dxa"/>
            <w:tcBorders>
              <w:top w:val="nil"/>
              <w:left w:val="nil"/>
              <w:bottom w:val="single" w:sz="8" w:space="0" w:color="BFBFBF"/>
              <w:right w:val="single" w:sz="8" w:space="0" w:color="BFBFBF"/>
            </w:tcBorders>
            <w:shd w:val="clear" w:color="000000" w:fill="DEEAF6"/>
            <w:noWrap/>
            <w:vAlign w:val="center"/>
            <w:hideMark/>
          </w:tcPr>
          <w:p w14:paraId="4AACF68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0.017</w:t>
            </w:r>
          </w:p>
        </w:tc>
      </w:tr>
      <w:tr w:rsidR="00D90F01" w:rsidRPr="00D90F01" w14:paraId="565F736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54D04D6"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DEEAF6"/>
            <w:vAlign w:val="center"/>
            <w:hideMark/>
          </w:tcPr>
          <w:p w14:paraId="56BF71D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 Satélite del Trabajo no Remunerado de los Hogares de México</w:t>
            </w:r>
          </w:p>
        </w:tc>
        <w:tc>
          <w:tcPr>
            <w:tcW w:w="1701" w:type="dxa"/>
            <w:tcBorders>
              <w:top w:val="nil"/>
              <w:left w:val="nil"/>
              <w:bottom w:val="single" w:sz="8" w:space="0" w:color="BFBFBF"/>
              <w:right w:val="single" w:sz="8" w:space="0" w:color="BFBFBF"/>
            </w:tcBorders>
            <w:shd w:val="clear" w:color="000000" w:fill="DEEAF6"/>
            <w:noWrap/>
            <w:vAlign w:val="center"/>
            <w:hideMark/>
          </w:tcPr>
          <w:p w14:paraId="0980094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0FEF873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337</w:t>
            </w:r>
          </w:p>
        </w:tc>
        <w:tc>
          <w:tcPr>
            <w:tcW w:w="1276" w:type="dxa"/>
            <w:tcBorders>
              <w:top w:val="nil"/>
              <w:left w:val="nil"/>
              <w:bottom w:val="single" w:sz="8" w:space="0" w:color="BFBFBF"/>
              <w:right w:val="single" w:sz="8" w:space="0" w:color="BFBFBF"/>
            </w:tcBorders>
            <w:shd w:val="clear" w:color="000000" w:fill="DEEAF6"/>
            <w:vAlign w:val="center"/>
            <w:hideMark/>
          </w:tcPr>
          <w:p w14:paraId="7321F2F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345</w:t>
            </w:r>
          </w:p>
        </w:tc>
        <w:tc>
          <w:tcPr>
            <w:tcW w:w="1959" w:type="dxa"/>
            <w:tcBorders>
              <w:top w:val="nil"/>
              <w:left w:val="nil"/>
              <w:bottom w:val="single" w:sz="8" w:space="0" w:color="BFBFBF"/>
              <w:right w:val="single" w:sz="8" w:space="0" w:color="BFBFBF"/>
            </w:tcBorders>
            <w:shd w:val="clear" w:color="000000" w:fill="DEEAF6"/>
            <w:vAlign w:val="center"/>
            <w:hideMark/>
          </w:tcPr>
          <w:p w14:paraId="7873906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0476A33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0.023</w:t>
            </w:r>
          </w:p>
        </w:tc>
      </w:tr>
      <w:tr w:rsidR="00D90F01" w:rsidRPr="00D90F01" w14:paraId="319B3674"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26DC1AA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Gobierno, Seguridad Pública y Sistema Penitenciario Estatales</w:t>
            </w:r>
          </w:p>
        </w:tc>
        <w:tc>
          <w:tcPr>
            <w:tcW w:w="3544" w:type="dxa"/>
            <w:tcBorders>
              <w:top w:val="nil"/>
              <w:left w:val="nil"/>
              <w:bottom w:val="single" w:sz="8" w:space="0" w:color="BFBFBF"/>
              <w:right w:val="single" w:sz="8" w:space="0" w:color="BFBFBF"/>
            </w:tcBorders>
            <w:shd w:val="clear" w:color="000000" w:fill="DEEAF6"/>
            <w:vAlign w:val="center"/>
            <w:hideMark/>
          </w:tcPr>
          <w:p w14:paraId="64F659E5"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Gobierno, Seguridad Pública y Sistema Penitenciario Estatales</w:t>
            </w:r>
          </w:p>
        </w:tc>
        <w:tc>
          <w:tcPr>
            <w:tcW w:w="1701" w:type="dxa"/>
            <w:tcBorders>
              <w:top w:val="nil"/>
              <w:left w:val="nil"/>
              <w:bottom w:val="single" w:sz="8" w:space="0" w:color="BFBFBF"/>
              <w:right w:val="single" w:sz="8" w:space="0" w:color="BFBFBF"/>
            </w:tcBorders>
            <w:shd w:val="clear" w:color="000000" w:fill="DEEAF6"/>
            <w:noWrap/>
            <w:vAlign w:val="center"/>
            <w:hideMark/>
          </w:tcPr>
          <w:p w14:paraId="59E3840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084BDDB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294</w:t>
            </w:r>
          </w:p>
        </w:tc>
        <w:tc>
          <w:tcPr>
            <w:tcW w:w="1276" w:type="dxa"/>
            <w:tcBorders>
              <w:top w:val="nil"/>
              <w:left w:val="nil"/>
              <w:bottom w:val="single" w:sz="8" w:space="0" w:color="BFBFBF"/>
              <w:right w:val="single" w:sz="8" w:space="0" w:color="BFBFBF"/>
            </w:tcBorders>
            <w:shd w:val="clear" w:color="000000" w:fill="DEEAF6"/>
            <w:noWrap/>
            <w:vAlign w:val="center"/>
            <w:hideMark/>
          </w:tcPr>
          <w:p w14:paraId="6185E75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302</w:t>
            </w:r>
          </w:p>
        </w:tc>
        <w:tc>
          <w:tcPr>
            <w:tcW w:w="1959" w:type="dxa"/>
            <w:tcBorders>
              <w:top w:val="nil"/>
              <w:left w:val="nil"/>
              <w:bottom w:val="single" w:sz="8" w:space="0" w:color="BFBFBF"/>
              <w:right w:val="single" w:sz="8" w:space="0" w:color="BFBFBF"/>
            </w:tcBorders>
            <w:shd w:val="clear" w:color="000000" w:fill="DEEAF6"/>
            <w:vAlign w:val="center"/>
            <w:hideMark/>
          </w:tcPr>
          <w:p w14:paraId="6909968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noWrap/>
            <w:vAlign w:val="center"/>
            <w:hideMark/>
          </w:tcPr>
          <w:p w14:paraId="2FDFA3C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0.026</w:t>
            </w:r>
          </w:p>
        </w:tc>
      </w:tr>
      <w:tr w:rsidR="00D90F01" w:rsidRPr="00D90F01" w14:paraId="3BBCCC3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2A84D137"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Cuentas por Sectores Institucionales</w:t>
            </w:r>
          </w:p>
        </w:tc>
        <w:tc>
          <w:tcPr>
            <w:tcW w:w="3544" w:type="dxa"/>
            <w:tcBorders>
              <w:top w:val="nil"/>
              <w:left w:val="nil"/>
              <w:bottom w:val="single" w:sz="8" w:space="0" w:color="BFBFBF"/>
              <w:right w:val="single" w:sz="8" w:space="0" w:color="BFBFBF"/>
            </w:tcBorders>
            <w:shd w:val="clear" w:color="000000" w:fill="FFFFFF"/>
            <w:vAlign w:val="center"/>
            <w:hideMark/>
          </w:tcPr>
          <w:p w14:paraId="445AF2F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Indicadores Macroeconómicos del Sector Público</w:t>
            </w:r>
          </w:p>
        </w:tc>
        <w:tc>
          <w:tcPr>
            <w:tcW w:w="1701" w:type="dxa"/>
            <w:tcBorders>
              <w:top w:val="nil"/>
              <w:left w:val="nil"/>
              <w:bottom w:val="single" w:sz="8" w:space="0" w:color="BFBFBF"/>
              <w:right w:val="single" w:sz="8" w:space="0" w:color="BFBFBF"/>
            </w:tcBorders>
            <w:shd w:val="clear" w:color="000000" w:fill="FFFFFF"/>
            <w:noWrap/>
            <w:vAlign w:val="center"/>
            <w:hideMark/>
          </w:tcPr>
          <w:p w14:paraId="70289CB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6111EDC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286</w:t>
            </w:r>
          </w:p>
        </w:tc>
        <w:tc>
          <w:tcPr>
            <w:tcW w:w="1276" w:type="dxa"/>
            <w:tcBorders>
              <w:top w:val="nil"/>
              <w:left w:val="nil"/>
              <w:bottom w:val="single" w:sz="8" w:space="0" w:color="BFBFBF"/>
              <w:right w:val="single" w:sz="8" w:space="0" w:color="BFBFBF"/>
            </w:tcBorders>
            <w:shd w:val="clear" w:color="000000" w:fill="FFFFFF"/>
            <w:noWrap/>
            <w:vAlign w:val="center"/>
            <w:hideMark/>
          </w:tcPr>
          <w:p w14:paraId="07DBD38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FFFFFF"/>
            <w:vAlign w:val="center"/>
            <w:hideMark/>
          </w:tcPr>
          <w:p w14:paraId="174E623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L - </w:t>
            </w:r>
            <w:proofErr w:type="spellStart"/>
            <w:r w:rsidRPr="00D90F01">
              <w:rPr>
                <w:rFonts w:ascii="Century Gothic" w:eastAsia="Times New Roman" w:hAnsi="Century Gothic" w:cs="Calibri"/>
                <w:color w:val="000000"/>
                <w:sz w:val="17"/>
                <w:szCs w:val="17"/>
                <w:lang w:val="en-US"/>
              </w:rPr>
              <w:t>Lineamiento</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institucional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3519D99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0.047</w:t>
            </w:r>
          </w:p>
        </w:tc>
      </w:tr>
      <w:tr w:rsidR="00D90F01" w:rsidRPr="00D90F01" w14:paraId="7FFF8B8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54F2744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74649B84"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 Mensual del Consumo Privado en el Mercado Interior</w:t>
            </w:r>
          </w:p>
        </w:tc>
        <w:tc>
          <w:tcPr>
            <w:tcW w:w="1701" w:type="dxa"/>
            <w:tcBorders>
              <w:top w:val="nil"/>
              <w:left w:val="nil"/>
              <w:bottom w:val="single" w:sz="8" w:space="0" w:color="BFBFBF"/>
              <w:right w:val="single" w:sz="8" w:space="0" w:color="BFBFBF"/>
            </w:tcBorders>
            <w:shd w:val="clear" w:color="000000" w:fill="FFFFFF"/>
            <w:noWrap/>
            <w:vAlign w:val="center"/>
            <w:hideMark/>
          </w:tcPr>
          <w:p w14:paraId="52AF063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1F8E888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57</w:t>
            </w:r>
          </w:p>
        </w:tc>
        <w:tc>
          <w:tcPr>
            <w:tcW w:w="1276" w:type="dxa"/>
            <w:tcBorders>
              <w:top w:val="nil"/>
              <w:left w:val="nil"/>
              <w:bottom w:val="single" w:sz="8" w:space="0" w:color="BFBFBF"/>
              <w:right w:val="single" w:sz="8" w:space="0" w:color="BFBFBF"/>
            </w:tcBorders>
            <w:shd w:val="clear" w:color="000000" w:fill="FFFFFF"/>
            <w:noWrap/>
            <w:vAlign w:val="center"/>
            <w:hideMark/>
          </w:tcPr>
          <w:p w14:paraId="3A17A7D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60</w:t>
            </w:r>
          </w:p>
        </w:tc>
        <w:tc>
          <w:tcPr>
            <w:tcW w:w="1959" w:type="dxa"/>
            <w:tcBorders>
              <w:top w:val="nil"/>
              <w:left w:val="nil"/>
              <w:bottom w:val="single" w:sz="8" w:space="0" w:color="BFBFBF"/>
              <w:right w:val="single" w:sz="8" w:space="0" w:color="BFBFBF"/>
            </w:tcBorders>
            <w:shd w:val="clear" w:color="000000" w:fill="FFFFFF"/>
            <w:vAlign w:val="center"/>
            <w:hideMark/>
          </w:tcPr>
          <w:p w14:paraId="388F8B7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I - </w:t>
            </w:r>
            <w:proofErr w:type="spellStart"/>
            <w:r w:rsidRPr="00D90F01">
              <w:rPr>
                <w:rFonts w:ascii="Century Gothic" w:eastAsia="Times New Roman" w:hAnsi="Century Gothic" w:cs="Calibri"/>
                <w:color w:val="000000"/>
                <w:sz w:val="17"/>
                <w:szCs w:val="17"/>
                <w:lang w:val="en-US"/>
              </w:rPr>
              <w:t>Propuesta</w:t>
            </w:r>
            <w:proofErr w:type="spellEnd"/>
            <w:r w:rsidRPr="00D90F01">
              <w:rPr>
                <w:rFonts w:ascii="Century Gothic" w:eastAsia="Times New Roman" w:hAnsi="Century Gothic" w:cs="Calibri"/>
                <w:color w:val="000000"/>
                <w:sz w:val="17"/>
                <w:szCs w:val="17"/>
                <w:lang w:val="en-US"/>
              </w:rPr>
              <w:t xml:space="preserve"> interna</w:t>
            </w:r>
          </w:p>
        </w:tc>
        <w:tc>
          <w:tcPr>
            <w:tcW w:w="851" w:type="dxa"/>
            <w:tcBorders>
              <w:top w:val="nil"/>
              <w:left w:val="nil"/>
              <w:bottom w:val="single" w:sz="8" w:space="0" w:color="BFBFBF"/>
              <w:right w:val="single" w:sz="8" w:space="0" w:color="BFBFBF"/>
            </w:tcBorders>
            <w:shd w:val="clear" w:color="000000" w:fill="FFFFFF"/>
            <w:noWrap/>
            <w:vAlign w:val="center"/>
            <w:hideMark/>
          </w:tcPr>
          <w:p w14:paraId="75E57D2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0.050</w:t>
            </w:r>
          </w:p>
        </w:tc>
      </w:tr>
      <w:tr w:rsidR="00D90F01" w:rsidRPr="00D90F01" w14:paraId="0527221A"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9996B3B"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Bienes y Servicios y Productos Relacionados</w:t>
            </w:r>
          </w:p>
        </w:tc>
        <w:tc>
          <w:tcPr>
            <w:tcW w:w="3544" w:type="dxa"/>
            <w:tcBorders>
              <w:top w:val="nil"/>
              <w:left w:val="nil"/>
              <w:bottom w:val="single" w:sz="8" w:space="0" w:color="BFBFBF"/>
              <w:right w:val="single" w:sz="8" w:space="0" w:color="BFBFBF"/>
            </w:tcBorders>
            <w:shd w:val="clear" w:color="000000" w:fill="FFFFFF"/>
            <w:vAlign w:val="center"/>
            <w:hideMark/>
          </w:tcPr>
          <w:p w14:paraId="5DB3632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de Bienes y Servicios.</w:t>
            </w:r>
          </w:p>
        </w:tc>
        <w:tc>
          <w:tcPr>
            <w:tcW w:w="1701" w:type="dxa"/>
            <w:tcBorders>
              <w:top w:val="nil"/>
              <w:left w:val="nil"/>
              <w:bottom w:val="single" w:sz="8" w:space="0" w:color="BFBFBF"/>
              <w:right w:val="single" w:sz="8" w:space="0" w:color="BFBFBF"/>
            </w:tcBorders>
            <w:shd w:val="clear" w:color="000000" w:fill="FFFFFF"/>
            <w:noWrap/>
            <w:vAlign w:val="center"/>
            <w:hideMark/>
          </w:tcPr>
          <w:p w14:paraId="45F02CF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29F97FA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275</w:t>
            </w:r>
          </w:p>
        </w:tc>
        <w:tc>
          <w:tcPr>
            <w:tcW w:w="1276" w:type="dxa"/>
            <w:tcBorders>
              <w:top w:val="nil"/>
              <w:left w:val="nil"/>
              <w:bottom w:val="single" w:sz="8" w:space="0" w:color="BFBFBF"/>
              <w:right w:val="single" w:sz="8" w:space="0" w:color="BFBFBF"/>
            </w:tcBorders>
            <w:shd w:val="clear" w:color="000000" w:fill="FFFFFF"/>
            <w:noWrap/>
            <w:vAlign w:val="center"/>
            <w:hideMark/>
          </w:tcPr>
          <w:p w14:paraId="63A322E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FFFFFF"/>
            <w:vAlign w:val="center"/>
            <w:hideMark/>
          </w:tcPr>
          <w:p w14:paraId="047ECDB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L - </w:t>
            </w:r>
            <w:proofErr w:type="spellStart"/>
            <w:r w:rsidRPr="00D90F01">
              <w:rPr>
                <w:rFonts w:ascii="Century Gothic" w:eastAsia="Times New Roman" w:hAnsi="Century Gothic" w:cs="Calibri"/>
                <w:color w:val="000000"/>
                <w:sz w:val="17"/>
                <w:szCs w:val="17"/>
                <w:lang w:val="en-US"/>
              </w:rPr>
              <w:t>Lineamiento</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institucional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0FA6982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0.083</w:t>
            </w:r>
          </w:p>
        </w:tc>
      </w:tr>
      <w:tr w:rsidR="00D90F01" w:rsidRPr="00D90F01" w14:paraId="0A2092F3"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4953F97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Finanzas Públicas Estatales y Municipales</w:t>
            </w:r>
          </w:p>
        </w:tc>
        <w:tc>
          <w:tcPr>
            <w:tcW w:w="3544" w:type="dxa"/>
            <w:tcBorders>
              <w:top w:val="nil"/>
              <w:left w:val="nil"/>
              <w:bottom w:val="single" w:sz="8" w:space="0" w:color="BFBFBF"/>
              <w:right w:val="single" w:sz="8" w:space="0" w:color="BFBFBF"/>
            </w:tcBorders>
            <w:shd w:val="clear" w:color="000000" w:fill="FFFFFF"/>
            <w:vAlign w:val="center"/>
            <w:hideMark/>
          </w:tcPr>
          <w:p w14:paraId="35952E2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Finanzas Públicas Estatales y Municipales (ENFIPEM)</w:t>
            </w:r>
          </w:p>
        </w:tc>
        <w:tc>
          <w:tcPr>
            <w:tcW w:w="1701" w:type="dxa"/>
            <w:tcBorders>
              <w:top w:val="nil"/>
              <w:left w:val="nil"/>
              <w:bottom w:val="single" w:sz="8" w:space="0" w:color="BFBFBF"/>
              <w:right w:val="single" w:sz="8" w:space="0" w:color="BFBFBF"/>
            </w:tcBorders>
            <w:shd w:val="clear" w:color="000000" w:fill="FFFFFF"/>
            <w:noWrap/>
            <w:vAlign w:val="center"/>
            <w:hideMark/>
          </w:tcPr>
          <w:p w14:paraId="371880A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420C9BD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501</w:t>
            </w:r>
          </w:p>
        </w:tc>
        <w:tc>
          <w:tcPr>
            <w:tcW w:w="1276" w:type="dxa"/>
            <w:tcBorders>
              <w:top w:val="nil"/>
              <w:left w:val="nil"/>
              <w:bottom w:val="single" w:sz="8" w:space="0" w:color="BFBFBF"/>
              <w:right w:val="single" w:sz="8" w:space="0" w:color="BFBFBF"/>
            </w:tcBorders>
            <w:shd w:val="clear" w:color="000000" w:fill="FFFFFF"/>
            <w:noWrap/>
            <w:vAlign w:val="center"/>
            <w:hideMark/>
          </w:tcPr>
          <w:p w14:paraId="78C3C67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547</w:t>
            </w:r>
          </w:p>
        </w:tc>
        <w:tc>
          <w:tcPr>
            <w:tcW w:w="1959" w:type="dxa"/>
            <w:tcBorders>
              <w:top w:val="nil"/>
              <w:left w:val="nil"/>
              <w:bottom w:val="single" w:sz="8" w:space="0" w:color="BFBFBF"/>
              <w:right w:val="single" w:sz="8" w:space="0" w:color="BFBFBF"/>
            </w:tcBorders>
            <w:shd w:val="clear" w:color="000000" w:fill="FFFFFF"/>
            <w:vAlign w:val="center"/>
            <w:hideMark/>
          </w:tcPr>
          <w:p w14:paraId="09A1E65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230ECEC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0.084</w:t>
            </w:r>
          </w:p>
        </w:tc>
      </w:tr>
      <w:tr w:rsidR="00D90F01" w:rsidRPr="00D90F01" w14:paraId="3EBAA1B4"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1EB22D26"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347ADF7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 Trimestral de Ahorro Bruto (ITAB) Año base 2013</w:t>
            </w:r>
          </w:p>
        </w:tc>
        <w:tc>
          <w:tcPr>
            <w:tcW w:w="1701" w:type="dxa"/>
            <w:tcBorders>
              <w:top w:val="nil"/>
              <w:left w:val="nil"/>
              <w:bottom w:val="single" w:sz="8" w:space="0" w:color="BFBFBF"/>
              <w:right w:val="single" w:sz="8" w:space="0" w:color="BFBFBF"/>
            </w:tcBorders>
            <w:shd w:val="clear" w:color="000000" w:fill="FFFFFF"/>
            <w:noWrap/>
            <w:vAlign w:val="center"/>
            <w:hideMark/>
          </w:tcPr>
          <w:p w14:paraId="68DC088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FFFFFF"/>
            <w:vAlign w:val="center"/>
            <w:hideMark/>
          </w:tcPr>
          <w:p w14:paraId="5C4058F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80.5</w:t>
            </w:r>
          </w:p>
        </w:tc>
        <w:tc>
          <w:tcPr>
            <w:tcW w:w="1276" w:type="dxa"/>
            <w:tcBorders>
              <w:top w:val="nil"/>
              <w:left w:val="nil"/>
              <w:bottom w:val="single" w:sz="8" w:space="0" w:color="BFBFBF"/>
              <w:right w:val="single" w:sz="8" w:space="0" w:color="BFBFBF"/>
            </w:tcBorders>
            <w:shd w:val="clear" w:color="000000" w:fill="FFFFFF"/>
            <w:vAlign w:val="center"/>
            <w:hideMark/>
          </w:tcPr>
          <w:p w14:paraId="2BA1FCD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90</w:t>
            </w:r>
          </w:p>
        </w:tc>
        <w:tc>
          <w:tcPr>
            <w:tcW w:w="1959" w:type="dxa"/>
            <w:tcBorders>
              <w:top w:val="nil"/>
              <w:left w:val="nil"/>
              <w:bottom w:val="single" w:sz="8" w:space="0" w:color="BFBFBF"/>
              <w:right w:val="single" w:sz="8" w:space="0" w:color="BFBFBF"/>
            </w:tcBorders>
            <w:shd w:val="clear" w:color="000000" w:fill="FFFFFF"/>
            <w:vAlign w:val="center"/>
            <w:hideMark/>
          </w:tcPr>
          <w:p w14:paraId="006D4FF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w:t>
            </w:r>
            <w:proofErr w:type="spellStart"/>
            <w:r w:rsidRPr="00D90F01">
              <w:rPr>
                <w:rFonts w:ascii="Century Gothic" w:eastAsia="Times New Roman" w:hAnsi="Century Gothic" w:cs="Calibri"/>
                <w:color w:val="000000"/>
                <w:sz w:val="17"/>
                <w:szCs w:val="17"/>
                <w:lang w:val="en-US"/>
              </w:rPr>
              <w:t>Estándar</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FFFFFF"/>
            <w:vAlign w:val="center"/>
            <w:hideMark/>
          </w:tcPr>
          <w:p w14:paraId="7CA0C53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0.106</w:t>
            </w:r>
          </w:p>
        </w:tc>
      </w:tr>
      <w:tr w:rsidR="00D90F01" w:rsidRPr="00D90F01" w14:paraId="226F8044"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18DA49C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DEEAF6"/>
            <w:vAlign w:val="center"/>
            <w:hideMark/>
          </w:tcPr>
          <w:p w14:paraId="094D843B"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Oferta y Demanda Global de Bienes y Servicios (Precios Constantes y Corrientes)</w:t>
            </w:r>
          </w:p>
        </w:tc>
        <w:tc>
          <w:tcPr>
            <w:tcW w:w="1701" w:type="dxa"/>
            <w:tcBorders>
              <w:top w:val="nil"/>
              <w:left w:val="nil"/>
              <w:bottom w:val="single" w:sz="8" w:space="0" w:color="BFBFBF"/>
              <w:right w:val="single" w:sz="8" w:space="0" w:color="BFBFBF"/>
            </w:tcBorders>
            <w:shd w:val="clear" w:color="000000" w:fill="DEEAF6"/>
            <w:noWrap/>
            <w:vAlign w:val="center"/>
            <w:hideMark/>
          </w:tcPr>
          <w:p w14:paraId="7DD6879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DEEAF6"/>
            <w:vAlign w:val="center"/>
            <w:hideMark/>
          </w:tcPr>
          <w:p w14:paraId="2A1CF35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80.5</w:t>
            </w:r>
          </w:p>
        </w:tc>
        <w:tc>
          <w:tcPr>
            <w:tcW w:w="1276" w:type="dxa"/>
            <w:tcBorders>
              <w:top w:val="nil"/>
              <w:left w:val="nil"/>
              <w:bottom w:val="single" w:sz="8" w:space="0" w:color="BFBFBF"/>
              <w:right w:val="single" w:sz="8" w:space="0" w:color="BFBFBF"/>
            </w:tcBorders>
            <w:shd w:val="clear" w:color="000000" w:fill="DEEAF6"/>
            <w:vAlign w:val="center"/>
            <w:hideMark/>
          </w:tcPr>
          <w:p w14:paraId="33AF324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90</w:t>
            </w:r>
          </w:p>
        </w:tc>
        <w:tc>
          <w:tcPr>
            <w:tcW w:w="1959" w:type="dxa"/>
            <w:tcBorders>
              <w:top w:val="nil"/>
              <w:left w:val="nil"/>
              <w:bottom w:val="single" w:sz="8" w:space="0" w:color="BFBFBF"/>
              <w:right w:val="single" w:sz="8" w:space="0" w:color="BFBFBF"/>
            </w:tcBorders>
            <w:shd w:val="clear" w:color="000000" w:fill="DEEAF6"/>
            <w:vAlign w:val="center"/>
            <w:hideMark/>
          </w:tcPr>
          <w:p w14:paraId="6328D56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w:t>
            </w:r>
            <w:proofErr w:type="spellStart"/>
            <w:r w:rsidRPr="00D90F01">
              <w:rPr>
                <w:rFonts w:ascii="Century Gothic" w:eastAsia="Times New Roman" w:hAnsi="Century Gothic" w:cs="Calibri"/>
                <w:color w:val="000000"/>
                <w:sz w:val="17"/>
                <w:szCs w:val="17"/>
                <w:lang w:val="en-US"/>
              </w:rPr>
              <w:t>Estándar</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vAlign w:val="center"/>
            <w:hideMark/>
          </w:tcPr>
          <w:p w14:paraId="3090148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0.106</w:t>
            </w:r>
          </w:p>
        </w:tc>
      </w:tr>
      <w:tr w:rsidR="00D90F01" w:rsidRPr="00D90F01" w14:paraId="053200C8"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2A987DA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Nacional de Precios Consumidor</w:t>
            </w:r>
          </w:p>
        </w:tc>
        <w:tc>
          <w:tcPr>
            <w:tcW w:w="3544" w:type="dxa"/>
            <w:tcBorders>
              <w:top w:val="nil"/>
              <w:left w:val="nil"/>
              <w:bottom w:val="single" w:sz="8" w:space="0" w:color="BFBFBF"/>
              <w:right w:val="single" w:sz="8" w:space="0" w:color="BFBFBF"/>
            </w:tcBorders>
            <w:shd w:val="clear" w:color="000000" w:fill="DEEAF6"/>
            <w:vAlign w:val="center"/>
            <w:hideMark/>
          </w:tcPr>
          <w:p w14:paraId="37195E6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Nacional de Precios al Consumidor, 2ª quincena y mensual</w:t>
            </w:r>
          </w:p>
        </w:tc>
        <w:tc>
          <w:tcPr>
            <w:tcW w:w="1701" w:type="dxa"/>
            <w:tcBorders>
              <w:top w:val="nil"/>
              <w:left w:val="nil"/>
              <w:bottom w:val="single" w:sz="8" w:space="0" w:color="BFBFBF"/>
              <w:right w:val="single" w:sz="8" w:space="0" w:color="BFBFBF"/>
            </w:tcBorders>
            <w:shd w:val="clear" w:color="000000" w:fill="DEEAF6"/>
            <w:noWrap/>
            <w:vAlign w:val="center"/>
            <w:hideMark/>
          </w:tcPr>
          <w:p w14:paraId="6347CDD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54AFA57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8.41</w:t>
            </w:r>
          </w:p>
        </w:tc>
        <w:tc>
          <w:tcPr>
            <w:tcW w:w="1276" w:type="dxa"/>
            <w:tcBorders>
              <w:top w:val="nil"/>
              <w:left w:val="nil"/>
              <w:bottom w:val="single" w:sz="8" w:space="0" w:color="BFBFBF"/>
              <w:right w:val="single" w:sz="8" w:space="0" w:color="BFBFBF"/>
            </w:tcBorders>
            <w:shd w:val="clear" w:color="000000" w:fill="DEEAF6"/>
            <w:noWrap/>
            <w:vAlign w:val="center"/>
            <w:hideMark/>
          </w:tcPr>
          <w:p w14:paraId="716AA3B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10</w:t>
            </w:r>
          </w:p>
        </w:tc>
        <w:tc>
          <w:tcPr>
            <w:tcW w:w="1959" w:type="dxa"/>
            <w:tcBorders>
              <w:top w:val="nil"/>
              <w:left w:val="nil"/>
              <w:bottom w:val="single" w:sz="8" w:space="0" w:color="BFBFBF"/>
              <w:right w:val="single" w:sz="8" w:space="0" w:color="BFBFBF"/>
            </w:tcBorders>
            <w:shd w:val="clear" w:color="000000" w:fill="DEEAF6"/>
            <w:vAlign w:val="center"/>
            <w:hideMark/>
          </w:tcPr>
          <w:p w14:paraId="231757C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P - </w:t>
            </w:r>
            <w:proofErr w:type="spellStart"/>
            <w:r w:rsidRPr="00D90F01">
              <w:rPr>
                <w:rFonts w:ascii="Century Gothic" w:eastAsia="Times New Roman" w:hAnsi="Century Gothic" w:cs="Calibri"/>
                <w:color w:val="000000"/>
                <w:sz w:val="17"/>
                <w:szCs w:val="17"/>
                <w:lang w:val="en-US"/>
              </w:rPr>
              <w:t>Política</w:t>
            </w:r>
            <w:proofErr w:type="spellEnd"/>
            <w:r w:rsidRPr="00D90F01">
              <w:rPr>
                <w:rFonts w:ascii="Century Gothic" w:eastAsia="Times New Roman" w:hAnsi="Century Gothic" w:cs="Calibri"/>
                <w:color w:val="000000"/>
                <w:sz w:val="17"/>
                <w:szCs w:val="17"/>
                <w:lang w:val="en-US"/>
              </w:rPr>
              <w:t>/</w:t>
            </w:r>
            <w:proofErr w:type="spellStart"/>
            <w:r w:rsidRPr="00D90F01">
              <w:rPr>
                <w:rFonts w:ascii="Century Gothic" w:eastAsia="Times New Roman" w:hAnsi="Century Gothic" w:cs="Calibri"/>
                <w:color w:val="000000"/>
                <w:sz w:val="17"/>
                <w:szCs w:val="17"/>
                <w:lang w:val="en-US"/>
              </w:rPr>
              <w:t>Regulación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nacional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518F656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0.159</w:t>
            </w:r>
          </w:p>
        </w:tc>
      </w:tr>
      <w:tr w:rsidR="00D90F01" w:rsidRPr="00D90F01" w14:paraId="2ABD90C0"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A549C65"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Estadística</w:t>
            </w:r>
            <w:proofErr w:type="spellEnd"/>
            <w:r w:rsidRPr="00D90F01">
              <w:rPr>
                <w:rFonts w:ascii="Century Gothic" w:eastAsia="Times New Roman" w:hAnsi="Century Gothic" w:cs="Calibri"/>
                <w:color w:val="000000"/>
                <w:sz w:val="17"/>
                <w:szCs w:val="17"/>
                <w:lang w:val="en-US"/>
              </w:rPr>
              <w:t xml:space="preserve"> de </w:t>
            </w:r>
            <w:proofErr w:type="spellStart"/>
            <w:r w:rsidRPr="00D90F01">
              <w:rPr>
                <w:rFonts w:ascii="Century Gothic" w:eastAsia="Times New Roman" w:hAnsi="Century Gothic" w:cs="Calibri"/>
                <w:color w:val="000000"/>
                <w:sz w:val="17"/>
                <w:szCs w:val="17"/>
                <w:lang w:val="en-US"/>
              </w:rPr>
              <w:t>Defunciones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Registradas</w:t>
            </w:r>
            <w:proofErr w:type="spellEnd"/>
          </w:p>
        </w:tc>
        <w:tc>
          <w:tcPr>
            <w:tcW w:w="3544" w:type="dxa"/>
            <w:tcBorders>
              <w:top w:val="nil"/>
              <w:left w:val="nil"/>
              <w:bottom w:val="single" w:sz="8" w:space="0" w:color="BFBFBF"/>
              <w:right w:val="single" w:sz="8" w:space="0" w:color="BFBFBF"/>
            </w:tcBorders>
            <w:shd w:val="clear" w:color="000000" w:fill="DEEAF6"/>
            <w:vAlign w:val="center"/>
            <w:hideMark/>
          </w:tcPr>
          <w:p w14:paraId="4B00C12E"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Estadística</w:t>
            </w:r>
            <w:proofErr w:type="spellEnd"/>
            <w:r w:rsidRPr="00D90F01">
              <w:rPr>
                <w:rFonts w:ascii="Century Gothic" w:eastAsia="Times New Roman" w:hAnsi="Century Gothic" w:cs="Calibri"/>
                <w:color w:val="000000"/>
                <w:sz w:val="17"/>
                <w:szCs w:val="17"/>
                <w:lang w:val="en-US"/>
              </w:rPr>
              <w:t xml:space="preserve"> de </w:t>
            </w:r>
            <w:proofErr w:type="spellStart"/>
            <w:r w:rsidRPr="00D90F01">
              <w:rPr>
                <w:rFonts w:ascii="Century Gothic" w:eastAsia="Times New Roman" w:hAnsi="Century Gothic" w:cs="Calibri"/>
                <w:color w:val="000000"/>
                <w:sz w:val="17"/>
                <w:szCs w:val="17"/>
                <w:lang w:val="en-US"/>
              </w:rPr>
              <w:t>Defunciones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Registradas</w:t>
            </w:r>
            <w:proofErr w:type="spellEnd"/>
          </w:p>
        </w:tc>
        <w:tc>
          <w:tcPr>
            <w:tcW w:w="1701" w:type="dxa"/>
            <w:tcBorders>
              <w:top w:val="nil"/>
              <w:left w:val="nil"/>
              <w:bottom w:val="single" w:sz="8" w:space="0" w:color="BFBFBF"/>
              <w:right w:val="single" w:sz="8" w:space="0" w:color="BFBFBF"/>
            </w:tcBorders>
            <w:shd w:val="clear" w:color="000000" w:fill="DEEAF6"/>
            <w:noWrap/>
            <w:vAlign w:val="center"/>
            <w:hideMark/>
          </w:tcPr>
          <w:p w14:paraId="76FFF08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53BB5DA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303</w:t>
            </w:r>
          </w:p>
        </w:tc>
        <w:tc>
          <w:tcPr>
            <w:tcW w:w="1276" w:type="dxa"/>
            <w:tcBorders>
              <w:top w:val="nil"/>
              <w:left w:val="nil"/>
              <w:bottom w:val="single" w:sz="8" w:space="0" w:color="BFBFBF"/>
              <w:right w:val="single" w:sz="8" w:space="0" w:color="BFBFBF"/>
            </w:tcBorders>
            <w:shd w:val="clear" w:color="000000" w:fill="DEEAF6"/>
            <w:noWrap/>
            <w:vAlign w:val="center"/>
            <w:hideMark/>
          </w:tcPr>
          <w:p w14:paraId="5605D91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365</w:t>
            </w:r>
          </w:p>
        </w:tc>
        <w:tc>
          <w:tcPr>
            <w:tcW w:w="1959" w:type="dxa"/>
            <w:tcBorders>
              <w:top w:val="nil"/>
              <w:left w:val="nil"/>
              <w:bottom w:val="single" w:sz="8" w:space="0" w:color="BFBFBF"/>
              <w:right w:val="single" w:sz="8" w:space="0" w:color="BFBFBF"/>
            </w:tcBorders>
            <w:shd w:val="clear" w:color="000000" w:fill="DEEAF6"/>
            <w:vAlign w:val="center"/>
            <w:hideMark/>
          </w:tcPr>
          <w:p w14:paraId="396725D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4524AAE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0.170</w:t>
            </w:r>
          </w:p>
        </w:tc>
      </w:tr>
      <w:tr w:rsidR="00D90F01" w:rsidRPr="00D90F01" w14:paraId="75CE5C99"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4566E30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FFFFFF"/>
            <w:vAlign w:val="center"/>
            <w:hideMark/>
          </w:tcPr>
          <w:p w14:paraId="171F5B42"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Indicadores Trimestrales de la Actividad Turística</w:t>
            </w:r>
          </w:p>
        </w:tc>
        <w:tc>
          <w:tcPr>
            <w:tcW w:w="1701" w:type="dxa"/>
            <w:tcBorders>
              <w:top w:val="nil"/>
              <w:left w:val="nil"/>
              <w:bottom w:val="single" w:sz="8" w:space="0" w:color="BFBFBF"/>
              <w:right w:val="single" w:sz="8" w:space="0" w:color="BFBFBF"/>
            </w:tcBorders>
            <w:shd w:val="clear" w:color="000000" w:fill="FFFFFF"/>
            <w:noWrap/>
            <w:vAlign w:val="center"/>
            <w:hideMark/>
          </w:tcPr>
          <w:p w14:paraId="28FCA7C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FFFFFF"/>
            <w:vAlign w:val="center"/>
            <w:hideMark/>
          </w:tcPr>
          <w:p w14:paraId="7FBE3F7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136.8</w:t>
            </w:r>
          </w:p>
        </w:tc>
        <w:tc>
          <w:tcPr>
            <w:tcW w:w="1276" w:type="dxa"/>
            <w:tcBorders>
              <w:top w:val="nil"/>
              <w:left w:val="nil"/>
              <w:bottom w:val="single" w:sz="8" w:space="0" w:color="BFBFBF"/>
              <w:right w:val="single" w:sz="8" w:space="0" w:color="BFBFBF"/>
            </w:tcBorders>
            <w:shd w:val="clear" w:color="000000" w:fill="FFFFFF"/>
            <w:noWrap/>
            <w:vAlign w:val="center"/>
            <w:hideMark/>
          </w:tcPr>
          <w:p w14:paraId="409653F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167</w:t>
            </w:r>
          </w:p>
        </w:tc>
        <w:tc>
          <w:tcPr>
            <w:tcW w:w="1959" w:type="dxa"/>
            <w:tcBorders>
              <w:top w:val="nil"/>
              <w:left w:val="nil"/>
              <w:bottom w:val="single" w:sz="8" w:space="0" w:color="BFBFBF"/>
              <w:right w:val="single" w:sz="8" w:space="0" w:color="BFBFBF"/>
            </w:tcBorders>
            <w:shd w:val="clear" w:color="000000" w:fill="FFFFFF"/>
            <w:vAlign w:val="center"/>
            <w:hideMark/>
          </w:tcPr>
          <w:p w14:paraId="6220BF9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L - </w:t>
            </w:r>
            <w:proofErr w:type="spellStart"/>
            <w:r w:rsidRPr="00D90F01">
              <w:rPr>
                <w:rFonts w:ascii="Century Gothic" w:eastAsia="Times New Roman" w:hAnsi="Century Gothic" w:cs="Calibri"/>
                <w:color w:val="000000"/>
                <w:sz w:val="17"/>
                <w:szCs w:val="17"/>
                <w:lang w:val="en-US"/>
              </w:rPr>
              <w:t>Lineamiento</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institucional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1D62E3E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0.181</w:t>
            </w:r>
          </w:p>
        </w:tc>
      </w:tr>
      <w:tr w:rsidR="00D90F01" w:rsidRPr="00D90F01" w14:paraId="496F9033"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8C35C8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Seguridad Pública Urbana</w:t>
            </w:r>
          </w:p>
        </w:tc>
        <w:tc>
          <w:tcPr>
            <w:tcW w:w="3544" w:type="dxa"/>
            <w:tcBorders>
              <w:top w:val="nil"/>
              <w:left w:val="nil"/>
              <w:bottom w:val="single" w:sz="8" w:space="0" w:color="BFBFBF"/>
              <w:right w:val="single" w:sz="8" w:space="0" w:color="BFBFBF"/>
            </w:tcBorders>
            <w:shd w:val="clear" w:color="000000" w:fill="FFFFFF"/>
            <w:vAlign w:val="center"/>
            <w:hideMark/>
          </w:tcPr>
          <w:p w14:paraId="49C2A0E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Seguridad Pública Urbana (ENSU)</w:t>
            </w:r>
          </w:p>
        </w:tc>
        <w:tc>
          <w:tcPr>
            <w:tcW w:w="1701" w:type="dxa"/>
            <w:tcBorders>
              <w:top w:val="nil"/>
              <w:left w:val="nil"/>
              <w:bottom w:val="single" w:sz="8" w:space="0" w:color="BFBFBF"/>
              <w:right w:val="single" w:sz="8" w:space="0" w:color="BFBFBF"/>
            </w:tcBorders>
            <w:shd w:val="clear" w:color="000000" w:fill="FFFFFF"/>
            <w:noWrap/>
            <w:vAlign w:val="center"/>
            <w:hideMark/>
          </w:tcPr>
          <w:p w14:paraId="4AA3BEA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FFFFFF"/>
            <w:vAlign w:val="center"/>
            <w:hideMark/>
          </w:tcPr>
          <w:p w14:paraId="06D59C0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17</w:t>
            </w:r>
          </w:p>
        </w:tc>
        <w:tc>
          <w:tcPr>
            <w:tcW w:w="1276" w:type="dxa"/>
            <w:tcBorders>
              <w:top w:val="nil"/>
              <w:left w:val="nil"/>
              <w:bottom w:val="single" w:sz="8" w:space="0" w:color="BFBFBF"/>
              <w:right w:val="single" w:sz="8" w:space="0" w:color="BFBFBF"/>
            </w:tcBorders>
            <w:shd w:val="clear" w:color="000000" w:fill="FFFFFF"/>
            <w:vAlign w:val="center"/>
            <w:hideMark/>
          </w:tcPr>
          <w:p w14:paraId="4BCF9B7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21</w:t>
            </w:r>
          </w:p>
        </w:tc>
        <w:tc>
          <w:tcPr>
            <w:tcW w:w="1959" w:type="dxa"/>
            <w:tcBorders>
              <w:top w:val="nil"/>
              <w:left w:val="nil"/>
              <w:bottom w:val="single" w:sz="8" w:space="0" w:color="BFBFBF"/>
              <w:right w:val="single" w:sz="8" w:space="0" w:color="BFBFBF"/>
            </w:tcBorders>
            <w:shd w:val="clear" w:color="000000" w:fill="FFFFFF"/>
            <w:vAlign w:val="center"/>
            <w:hideMark/>
          </w:tcPr>
          <w:p w14:paraId="768B5B9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vAlign w:val="center"/>
            <w:hideMark/>
          </w:tcPr>
          <w:p w14:paraId="5B46E29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0.190</w:t>
            </w:r>
          </w:p>
        </w:tc>
      </w:tr>
      <w:tr w:rsidR="00D90F01" w:rsidRPr="00D90F01" w14:paraId="4CC99C80"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57FBCA1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Calidad e Impacto Gubernamental</w:t>
            </w:r>
          </w:p>
        </w:tc>
        <w:tc>
          <w:tcPr>
            <w:tcW w:w="3544" w:type="dxa"/>
            <w:tcBorders>
              <w:top w:val="nil"/>
              <w:left w:val="nil"/>
              <w:bottom w:val="single" w:sz="8" w:space="0" w:color="BFBFBF"/>
              <w:right w:val="single" w:sz="8" w:space="0" w:color="BFBFBF"/>
            </w:tcBorders>
            <w:shd w:val="clear" w:color="000000" w:fill="FFFFFF"/>
            <w:vAlign w:val="center"/>
            <w:hideMark/>
          </w:tcPr>
          <w:p w14:paraId="7184E53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Calidad e Impacto Gubernamental (ENCIG)</w:t>
            </w:r>
          </w:p>
        </w:tc>
        <w:tc>
          <w:tcPr>
            <w:tcW w:w="1701" w:type="dxa"/>
            <w:tcBorders>
              <w:top w:val="nil"/>
              <w:left w:val="nil"/>
              <w:bottom w:val="single" w:sz="8" w:space="0" w:color="BFBFBF"/>
              <w:right w:val="single" w:sz="8" w:space="0" w:color="BFBFBF"/>
            </w:tcBorders>
            <w:shd w:val="clear" w:color="000000" w:fill="FFFFFF"/>
            <w:noWrap/>
            <w:vAlign w:val="center"/>
            <w:hideMark/>
          </w:tcPr>
          <w:p w14:paraId="125966E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Bienal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0ACDD7E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142</w:t>
            </w:r>
          </w:p>
        </w:tc>
        <w:tc>
          <w:tcPr>
            <w:tcW w:w="1276" w:type="dxa"/>
            <w:tcBorders>
              <w:top w:val="nil"/>
              <w:left w:val="nil"/>
              <w:bottom w:val="single" w:sz="8" w:space="0" w:color="BFBFBF"/>
              <w:right w:val="single" w:sz="8" w:space="0" w:color="BFBFBF"/>
            </w:tcBorders>
            <w:shd w:val="clear" w:color="000000" w:fill="FFFFFF"/>
            <w:vAlign w:val="center"/>
            <w:hideMark/>
          </w:tcPr>
          <w:p w14:paraId="15DFA76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176</w:t>
            </w:r>
          </w:p>
        </w:tc>
        <w:tc>
          <w:tcPr>
            <w:tcW w:w="1959" w:type="dxa"/>
            <w:tcBorders>
              <w:top w:val="nil"/>
              <w:left w:val="nil"/>
              <w:bottom w:val="single" w:sz="8" w:space="0" w:color="BFBFBF"/>
              <w:right w:val="single" w:sz="8" w:space="0" w:color="BFBFBF"/>
            </w:tcBorders>
            <w:shd w:val="clear" w:color="000000" w:fill="FFFFFF"/>
            <w:vAlign w:val="center"/>
            <w:hideMark/>
          </w:tcPr>
          <w:p w14:paraId="4026245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vAlign w:val="center"/>
            <w:hideMark/>
          </w:tcPr>
          <w:p w14:paraId="124DC6A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0.193</w:t>
            </w:r>
          </w:p>
        </w:tc>
      </w:tr>
      <w:tr w:rsidR="00D90F01" w:rsidRPr="00D90F01" w14:paraId="6DB102A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6D85B31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FFFFFF"/>
            <w:vAlign w:val="center"/>
            <w:hideMark/>
          </w:tcPr>
          <w:p w14:paraId="3D33617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 Satélite de Vivienda de México.</w:t>
            </w:r>
          </w:p>
        </w:tc>
        <w:tc>
          <w:tcPr>
            <w:tcW w:w="1701" w:type="dxa"/>
            <w:tcBorders>
              <w:top w:val="nil"/>
              <w:left w:val="nil"/>
              <w:bottom w:val="single" w:sz="8" w:space="0" w:color="BFBFBF"/>
              <w:right w:val="single" w:sz="8" w:space="0" w:color="BFBFBF"/>
            </w:tcBorders>
            <w:shd w:val="clear" w:color="000000" w:fill="FFFFFF"/>
            <w:noWrap/>
            <w:vAlign w:val="center"/>
            <w:hideMark/>
          </w:tcPr>
          <w:p w14:paraId="772F581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6E5445B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353</w:t>
            </w:r>
          </w:p>
        </w:tc>
        <w:tc>
          <w:tcPr>
            <w:tcW w:w="1276" w:type="dxa"/>
            <w:tcBorders>
              <w:top w:val="nil"/>
              <w:left w:val="nil"/>
              <w:bottom w:val="single" w:sz="8" w:space="0" w:color="BFBFBF"/>
              <w:right w:val="single" w:sz="8" w:space="0" w:color="BFBFBF"/>
            </w:tcBorders>
            <w:shd w:val="clear" w:color="000000" w:fill="FFFFFF"/>
            <w:noWrap/>
            <w:vAlign w:val="center"/>
            <w:hideMark/>
          </w:tcPr>
          <w:p w14:paraId="3203A75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450</w:t>
            </w:r>
          </w:p>
        </w:tc>
        <w:tc>
          <w:tcPr>
            <w:tcW w:w="1959" w:type="dxa"/>
            <w:tcBorders>
              <w:top w:val="nil"/>
              <w:left w:val="nil"/>
              <w:bottom w:val="single" w:sz="8" w:space="0" w:color="BFBFBF"/>
              <w:right w:val="single" w:sz="8" w:space="0" w:color="BFBFBF"/>
            </w:tcBorders>
            <w:shd w:val="clear" w:color="000000" w:fill="FFFFFF"/>
            <w:vAlign w:val="center"/>
            <w:hideMark/>
          </w:tcPr>
          <w:p w14:paraId="5137AC6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noWrap/>
            <w:vAlign w:val="center"/>
            <w:hideMark/>
          </w:tcPr>
          <w:p w14:paraId="5FDE495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0.216</w:t>
            </w:r>
          </w:p>
        </w:tc>
      </w:tr>
      <w:tr w:rsidR="00D90F01" w:rsidRPr="00D90F01" w14:paraId="3A90DFE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ABF64E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sobre Productividad y Competitividad de las Micro, Pequeñas y Medianas Empresas</w:t>
            </w:r>
          </w:p>
        </w:tc>
        <w:tc>
          <w:tcPr>
            <w:tcW w:w="3544" w:type="dxa"/>
            <w:tcBorders>
              <w:top w:val="nil"/>
              <w:left w:val="nil"/>
              <w:bottom w:val="single" w:sz="8" w:space="0" w:color="BFBFBF"/>
              <w:right w:val="single" w:sz="8" w:space="0" w:color="BFBFBF"/>
            </w:tcBorders>
            <w:shd w:val="clear" w:color="000000" w:fill="DEEAF6"/>
            <w:vAlign w:val="center"/>
            <w:hideMark/>
          </w:tcPr>
          <w:p w14:paraId="5B8FFB5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Indicadores de Productividad Laboral y del Costo Unitario de la Mano de Obra</w:t>
            </w:r>
          </w:p>
        </w:tc>
        <w:tc>
          <w:tcPr>
            <w:tcW w:w="1701" w:type="dxa"/>
            <w:tcBorders>
              <w:top w:val="nil"/>
              <w:left w:val="nil"/>
              <w:bottom w:val="single" w:sz="8" w:space="0" w:color="BFBFBF"/>
              <w:right w:val="single" w:sz="8" w:space="0" w:color="BFBFBF"/>
            </w:tcBorders>
            <w:shd w:val="clear" w:color="000000" w:fill="DEEAF6"/>
            <w:noWrap/>
            <w:vAlign w:val="center"/>
            <w:hideMark/>
          </w:tcPr>
          <w:p w14:paraId="3DAB171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DEEAF6"/>
            <w:vAlign w:val="center"/>
            <w:hideMark/>
          </w:tcPr>
          <w:p w14:paraId="67A2CF2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69.75</w:t>
            </w:r>
          </w:p>
        </w:tc>
        <w:tc>
          <w:tcPr>
            <w:tcW w:w="1276" w:type="dxa"/>
            <w:tcBorders>
              <w:top w:val="nil"/>
              <w:left w:val="nil"/>
              <w:bottom w:val="single" w:sz="8" w:space="0" w:color="BFBFBF"/>
              <w:right w:val="single" w:sz="8" w:space="0" w:color="BFBFBF"/>
            </w:tcBorders>
            <w:shd w:val="clear" w:color="000000" w:fill="DEEAF6"/>
            <w:vAlign w:val="center"/>
            <w:hideMark/>
          </w:tcPr>
          <w:p w14:paraId="6BF23BF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90</w:t>
            </w:r>
          </w:p>
        </w:tc>
        <w:tc>
          <w:tcPr>
            <w:tcW w:w="1959" w:type="dxa"/>
            <w:tcBorders>
              <w:top w:val="nil"/>
              <w:left w:val="nil"/>
              <w:bottom w:val="single" w:sz="8" w:space="0" w:color="BFBFBF"/>
              <w:right w:val="single" w:sz="8" w:space="0" w:color="BFBFBF"/>
            </w:tcBorders>
            <w:shd w:val="clear" w:color="000000" w:fill="DEEAF6"/>
            <w:vAlign w:val="center"/>
            <w:hideMark/>
          </w:tcPr>
          <w:p w14:paraId="46F4994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w:t>
            </w:r>
            <w:proofErr w:type="spellStart"/>
            <w:r w:rsidRPr="00D90F01">
              <w:rPr>
                <w:rFonts w:ascii="Century Gothic" w:eastAsia="Times New Roman" w:hAnsi="Century Gothic" w:cs="Calibri"/>
                <w:color w:val="000000"/>
                <w:sz w:val="17"/>
                <w:szCs w:val="17"/>
                <w:lang w:val="en-US"/>
              </w:rPr>
              <w:t>Estándar</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vAlign w:val="center"/>
            <w:hideMark/>
          </w:tcPr>
          <w:p w14:paraId="30A8109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0.225</w:t>
            </w:r>
          </w:p>
        </w:tc>
      </w:tr>
      <w:tr w:rsidR="00D90F01" w:rsidRPr="00D90F01" w14:paraId="49D89FD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2EB38A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DEEAF6"/>
            <w:vAlign w:val="center"/>
            <w:hideMark/>
          </w:tcPr>
          <w:p w14:paraId="74E82E6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Económicas y Ecológicas de México</w:t>
            </w:r>
          </w:p>
        </w:tc>
        <w:tc>
          <w:tcPr>
            <w:tcW w:w="1701" w:type="dxa"/>
            <w:tcBorders>
              <w:top w:val="nil"/>
              <w:left w:val="nil"/>
              <w:bottom w:val="single" w:sz="8" w:space="0" w:color="BFBFBF"/>
              <w:right w:val="single" w:sz="8" w:space="0" w:color="BFBFBF"/>
            </w:tcBorders>
            <w:shd w:val="clear" w:color="000000" w:fill="DEEAF6"/>
            <w:noWrap/>
            <w:vAlign w:val="center"/>
            <w:hideMark/>
          </w:tcPr>
          <w:p w14:paraId="0A4A502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5FF1134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339</w:t>
            </w:r>
          </w:p>
        </w:tc>
        <w:tc>
          <w:tcPr>
            <w:tcW w:w="1276" w:type="dxa"/>
            <w:tcBorders>
              <w:top w:val="nil"/>
              <w:left w:val="nil"/>
              <w:bottom w:val="single" w:sz="8" w:space="0" w:color="BFBFBF"/>
              <w:right w:val="single" w:sz="8" w:space="0" w:color="BFBFBF"/>
            </w:tcBorders>
            <w:shd w:val="clear" w:color="000000" w:fill="DEEAF6"/>
            <w:noWrap/>
            <w:vAlign w:val="center"/>
            <w:hideMark/>
          </w:tcPr>
          <w:p w14:paraId="3E7D45F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438</w:t>
            </w:r>
          </w:p>
        </w:tc>
        <w:tc>
          <w:tcPr>
            <w:tcW w:w="1959" w:type="dxa"/>
            <w:tcBorders>
              <w:top w:val="nil"/>
              <w:left w:val="nil"/>
              <w:bottom w:val="single" w:sz="8" w:space="0" w:color="BFBFBF"/>
              <w:right w:val="single" w:sz="8" w:space="0" w:color="BFBFBF"/>
            </w:tcBorders>
            <w:shd w:val="clear" w:color="000000" w:fill="DEEAF6"/>
            <w:vAlign w:val="center"/>
            <w:hideMark/>
          </w:tcPr>
          <w:p w14:paraId="66F2C16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noWrap/>
            <w:vAlign w:val="center"/>
            <w:hideMark/>
          </w:tcPr>
          <w:p w14:paraId="09F2FCC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0.226</w:t>
            </w:r>
          </w:p>
        </w:tc>
      </w:tr>
      <w:tr w:rsidR="00D90F01" w:rsidRPr="00D90F01" w14:paraId="29E1924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16788F0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DEEAF6"/>
            <w:vAlign w:val="center"/>
            <w:hideMark/>
          </w:tcPr>
          <w:p w14:paraId="2A14324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 Satélite de las Instituciones sin Fines de Lucro de México.</w:t>
            </w:r>
          </w:p>
        </w:tc>
        <w:tc>
          <w:tcPr>
            <w:tcW w:w="1701" w:type="dxa"/>
            <w:tcBorders>
              <w:top w:val="nil"/>
              <w:left w:val="nil"/>
              <w:bottom w:val="single" w:sz="8" w:space="0" w:color="BFBFBF"/>
              <w:right w:val="single" w:sz="8" w:space="0" w:color="BFBFBF"/>
            </w:tcBorders>
            <w:shd w:val="clear" w:color="000000" w:fill="DEEAF6"/>
            <w:noWrap/>
            <w:vAlign w:val="center"/>
            <w:hideMark/>
          </w:tcPr>
          <w:p w14:paraId="63D87CE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033C272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338</w:t>
            </w:r>
          </w:p>
        </w:tc>
        <w:tc>
          <w:tcPr>
            <w:tcW w:w="1276" w:type="dxa"/>
            <w:tcBorders>
              <w:top w:val="nil"/>
              <w:left w:val="nil"/>
              <w:bottom w:val="single" w:sz="8" w:space="0" w:color="BFBFBF"/>
              <w:right w:val="single" w:sz="8" w:space="0" w:color="BFBFBF"/>
            </w:tcBorders>
            <w:shd w:val="clear" w:color="000000" w:fill="DEEAF6"/>
            <w:vAlign w:val="center"/>
            <w:hideMark/>
          </w:tcPr>
          <w:p w14:paraId="35B69AF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447</w:t>
            </w:r>
          </w:p>
        </w:tc>
        <w:tc>
          <w:tcPr>
            <w:tcW w:w="1959" w:type="dxa"/>
            <w:tcBorders>
              <w:top w:val="nil"/>
              <w:left w:val="nil"/>
              <w:bottom w:val="single" w:sz="8" w:space="0" w:color="BFBFBF"/>
              <w:right w:val="single" w:sz="8" w:space="0" w:color="BFBFBF"/>
            </w:tcBorders>
            <w:shd w:val="clear" w:color="000000" w:fill="DEEAF6"/>
            <w:vAlign w:val="center"/>
            <w:hideMark/>
          </w:tcPr>
          <w:p w14:paraId="3964F95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71BE3AC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0.244</w:t>
            </w:r>
          </w:p>
        </w:tc>
      </w:tr>
      <w:tr w:rsidR="00D90F01" w:rsidRPr="00D90F01" w14:paraId="5F1841E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4DB65BD4"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Estadística</w:t>
            </w:r>
            <w:proofErr w:type="spellEnd"/>
            <w:r w:rsidRPr="00D90F01">
              <w:rPr>
                <w:rFonts w:ascii="Century Gothic" w:eastAsia="Times New Roman" w:hAnsi="Century Gothic" w:cs="Calibri"/>
                <w:color w:val="000000"/>
                <w:sz w:val="17"/>
                <w:szCs w:val="17"/>
                <w:lang w:val="en-US"/>
              </w:rPr>
              <w:t xml:space="preserve"> de </w:t>
            </w:r>
            <w:proofErr w:type="spellStart"/>
            <w:r w:rsidRPr="00D90F01">
              <w:rPr>
                <w:rFonts w:ascii="Century Gothic" w:eastAsia="Times New Roman" w:hAnsi="Century Gothic" w:cs="Calibri"/>
                <w:color w:val="000000"/>
                <w:sz w:val="17"/>
                <w:szCs w:val="17"/>
                <w:lang w:val="en-US"/>
              </w:rPr>
              <w:t>Divorcios</w:t>
            </w:r>
            <w:proofErr w:type="spellEnd"/>
          </w:p>
        </w:tc>
        <w:tc>
          <w:tcPr>
            <w:tcW w:w="3544" w:type="dxa"/>
            <w:tcBorders>
              <w:top w:val="nil"/>
              <w:left w:val="nil"/>
              <w:bottom w:val="single" w:sz="8" w:space="0" w:color="BFBFBF"/>
              <w:right w:val="single" w:sz="8" w:space="0" w:color="BFBFBF"/>
            </w:tcBorders>
            <w:shd w:val="clear" w:color="000000" w:fill="DEEAF6"/>
            <w:vAlign w:val="center"/>
            <w:hideMark/>
          </w:tcPr>
          <w:p w14:paraId="67EDB545"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Estadísticas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Vitales</w:t>
            </w:r>
            <w:proofErr w:type="spellEnd"/>
            <w:r w:rsidRPr="00D90F01">
              <w:rPr>
                <w:rFonts w:ascii="Century Gothic" w:eastAsia="Times New Roman" w:hAnsi="Century Gothic" w:cs="Calibri"/>
                <w:color w:val="000000"/>
                <w:sz w:val="17"/>
                <w:szCs w:val="17"/>
                <w:lang w:val="en-US"/>
              </w:rPr>
              <w:t xml:space="preserve"> – </w:t>
            </w:r>
            <w:proofErr w:type="spellStart"/>
            <w:r w:rsidRPr="00D90F01">
              <w:rPr>
                <w:rFonts w:ascii="Century Gothic" w:eastAsia="Times New Roman" w:hAnsi="Century Gothic" w:cs="Calibri"/>
                <w:color w:val="000000"/>
                <w:sz w:val="17"/>
                <w:szCs w:val="17"/>
                <w:lang w:val="en-US"/>
              </w:rPr>
              <w:t>Divorcios</w:t>
            </w:r>
            <w:proofErr w:type="spellEnd"/>
          </w:p>
        </w:tc>
        <w:tc>
          <w:tcPr>
            <w:tcW w:w="1701" w:type="dxa"/>
            <w:tcBorders>
              <w:top w:val="nil"/>
              <w:left w:val="nil"/>
              <w:bottom w:val="single" w:sz="8" w:space="0" w:color="BFBFBF"/>
              <w:right w:val="single" w:sz="8" w:space="0" w:color="BFBFBF"/>
            </w:tcBorders>
            <w:shd w:val="clear" w:color="000000" w:fill="DEEAF6"/>
            <w:noWrap/>
            <w:vAlign w:val="center"/>
            <w:hideMark/>
          </w:tcPr>
          <w:p w14:paraId="25500F6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0B6CB00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274</w:t>
            </w:r>
          </w:p>
        </w:tc>
        <w:tc>
          <w:tcPr>
            <w:tcW w:w="1276" w:type="dxa"/>
            <w:tcBorders>
              <w:top w:val="nil"/>
              <w:left w:val="nil"/>
              <w:bottom w:val="single" w:sz="8" w:space="0" w:color="BFBFBF"/>
              <w:right w:val="single" w:sz="8" w:space="0" w:color="BFBFBF"/>
            </w:tcBorders>
            <w:shd w:val="clear" w:color="000000" w:fill="DEEAF6"/>
            <w:noWrap/>
            <w:vAlign w:val="center"/>
            <w:hideMark/>
          </w:tcPr>
          <w:p w14:paraId="63A8BCF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365</w:t>
            </w:r>
          </w:p>
        </w:tc>
        <w:tc>
          <w:tcPr>
            <w:tcW w:w="1959" w:type="dxa"/>
            <w:tcBorders>
              <w:top w:val="nil"/>
              <w:left w:val="nil"/>
              <w:bottom w:val="single" w:sz="8" w:space="0" w:color="BFBFBF"/>
              <w:right w:val="single" w:sz="8" w:space="0" w:color="BFBFBF"/>
            </w:tcBorders>
            <w:shd w:val="clear" w:color="000000" w:fill="DEEAF6"/>
            <w:vAlign w:val="center"/>
            <w:hideMark/>
          </w:tcPr>
          <w:p w14:paraId="5B65A50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65789C7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0.249</w:t>
            </w:r>
          </w:p>
        </w:tc>
      </w:tr>
      <w:tr w:rsidR="00D90F01" w:rsidRPr="00D90F01" w14:paraId="7DDDE1DA"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40A5E4C2"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Estadística</w:t>
            </w:r>
            <w:proofErr w:type="spellEnd"/>
            <w:r w:rsidRPr="00D90F01">
              <w:rPr>
                <w:rFonts w:ascii="Century Gothic" w:eastAsia="Times New Roman" w:hAnsi="Century Gothic" w:cs="Calibri"/>
                <w:color w:val="000000"/>
                <w:sz w:val="17"/>
                <w:szCs w:val="17"/>
                <w:lang w:val="en-US"/>
              </w:rPr>
              <w:t xml:space="preserve"> de </w:t>
            </w:r>
            <w:proofErr w:type="spellStart"/>
            <w:r w:rsidRPr="00D90F01">
              <w:rPr>
                <w:rFonts w:ascii="Century Gothic" w:eastAsia="Times New Roman" w:hAnsi="Century Gothic" w:cs="Calibri"/>
                <w:color w:val="000000"/>
                <w:sz w:val="17"/>
                <w:szCs w:val="17"/>
                <w:lang w:val="en-US"/>
              </w:rPr>
              <w:t>Matrimonios</w:t>
            </w:r>
            <w:proofErr w:type="spellEnd"/>
          </w:p>
        </w:tc>
        <w:tc>
          <w:tcPr>
            <w:tcW w:w="3544" w:type="dxa"/>
            <w:tcBorders>
              <w:top w:val="nil"/>
              <w:left w:val="nil"/>
              <w:bottom w:val="single" w:sz="8" w:space="0" w:color="BFBFBF"/>
              <w:right w:val="single" w:sz="8" w:space="0" w:color="BFBFBF"/>
            </w:tcBorders>
            <w:shd w:val="clear" w:color="000000" w:fill="DEEAF6"/>
            <w:vAlign w:val="center"/>
            <w:hideMark/>
          </w:tcPr>
          <w:p w14:paraId="3745C124"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Estadísticas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Vitales</w:t>
            </w:r>
            <w:proofErr w:type="spellEnd"/>
            <w:r w:rsidRPr="00D90F01">
              <w:rPr>
                <w:rFonts w:ascii="Century Gothic" w:eastAsia="Times New Roman" w:hAnsi="Century Gothic" w:cs="Calibri"/>
                <w:color w:val="000000"/>
                <w:sz w:val="17"/>
                <w:szCs w:val="17"/>
                <w:lang w:val="en-US"/>
              </w:rPr>
              <w:t xml:space="preserve"> – </w:t>
            </w:r>
            <w:proofErr w:type="spellStart"/>
            <w:r w:rsidRPr="00D90F01">
              <w:rPr>
                <w:rFonts w:ascii="Century Gothic" w:eastAsia="Times New Roman" w:hAnsi="Century Gothic" w:cs="Calibri"/>
                <w:color w:val="000000"/>
                <w:sz w:val="17"/>
                <w:szCs w:val="17"/>
                <w:lang w:val="en-US"/>
              </w:rPr>
              <w:t>Matrimonios</w:t>
            </w:r>
            <w:proofErr w:type="spellEnd"/>
          </w:p>
        </w:tc>
        <w:tc>
          <w:tcPr>
            <w:tcW w:w="1701" w:type="dxa"/>
            <w:tcBorders>
              <w:top w:val="nil"/>
              <w:left w:val="nil"/>
              <w:bottom w:val="single" w:sz="8" w:space="0" w:color="BFBFBF"/>
              <w:right w:val="single" w:sz="8" w:space="0" w:color="BFBFBF"/>
            </w:tcBorders>
            <w:shd w:val="clear" w:color="000000" w:fill="DEEAF6"/>
            <w:noWrap/>
            <w:vAlign w:val="center"/>
            <w:hideMark/>
          </w:tcPr>
          <w:p w14:paraId="0A0F53A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0909E64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274</w:t>
            </w:r>
          </w:p>
        </w:tc>
        <w:tc>
          <w:tcPr>
            <w:tcW w:w="1276" w:type="dxa"/>
            <w:tcBorders>
              <w:top w:val="nil"/>
              <w:left w:val="nil"/>
              <w:bottom w:val="single" w:sz="8" w:space="0" w:color="BFBFBF"/>
              <w:right w:val="single" w:sz="8" w:space="0" w:color="BFBFBF"/>
            </w:tcBorders>
            <w:shd w:val="clear" w:color="000000" w:fill="DEEAF6"/>
            <w:noWrap/>
            <w:vAlign w:val="center"/>
            <w:hideMark/>
          </w:tcPr>
          <w:p w14:paraId="5BD3B76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365</w:t>
            </w:r>
          </w:p>
        </w:tc>
        <w:tc>
          <w:tcPr>
            <w:tcW w:w="1959" w:type="dxa"/>
            <w:tcBorders>
              <w:top w:val="nil"/>
              <w:left w:val="nil"/>
              <w:bottom w:val="single" w:sz="8" w:space="0" w:color="BFBFBF"/>
              <w:right w:val="single" w:sz="8" w:space="0" w:color="BFBFBF"/>
            </w:tcBorders>
            <w:shd w:val="clear" w:color="000000" w:fill="DEEAF6"/>
            <w:vAlign w:val="center"/>
            <w:hideMark/>
          </w:tcPr>
          <w:p w14:paraId="643028E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269D5BF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0.249</w:t>
            </w:r>
          </w:p>
        </w:tc>
      </w:tr>
      <w:tr w:rsidR="00D90F01" w:rsidRPr="00D90F01" w14:paraId="222A1F50"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442E6134"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FFFFFF"/>
            <w:vAlign w:val="center"/>
            <w:hideMark/>
          </w:tcPr>
          <w:p w14:paraId="4253EF3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 Satélite del Turismo de México</w:t>
            </w:r>
          </w:p>
        </w:tc>
        <w:tc>
          <w:tcPr>
            <w:tcW w:w="1701" w:type="dxa"/>
            <w:tcBorders>
              <w:top w:val="nil"/>
              <w:left w:val="nil"/>
              <w:bottom w:val="single" w:sz="8" w:space="0" w:color="BFBFBF"/>
              <w:right w:val="single" w:sz="8" w:space="0" w:color="BFBFBF"/>
            </w:tcBorders>
            <w:shd w:val="clear" w:color="000000" w:fill="FFFFFF"/>
            <w:noWrap/>
            <w:vAlign w:val="center"/>
            <w:hideMark/>
          </w:tcPr>
          <w:p w14:paraId="290CFD5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725F4C0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276" w:type="dxa"/>
            <w:tcBorders>
              <w:top w:val="nil"/>
              <w:left w:val="nil"/>
              <w:bottom w:val="single" w:sz="8" w:space="0" w:color="BFBFBF"/>
              <w:right w:val="single" w:sz="8" w:space="0" w:color="BFBFBF"/>
            </w:tcBorders>
            <w:shd w:val="clear" w:color="000000" w:fill="FFFFFF"/>
            <w:noWrap/>
            <w:vAlign w:val="center"/>
            <w:hideMark/>
          </w:tcPr>
          <w:p w14:paraId="4CF420C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480</w:t>
            </w:r>
          </w:p>
        </w:tc>
        <w:tc>
          <w:tcPr>
            <w:tcW w:w="1959" w:type="dxa"/>
            <w:tcBorders>
              <w:top w:val="nil"/>
              <w:left w:val="nil"/>
              <w:bottom w:val="single" w:sz="8" w:space="0" w:color="BFBFBF"/>
              <w:right w:val="single" w:sz="8" w:space="0" w:color="BFBFBF"/>
            </w:tcBorders>
            <w:shd w:val="clear" w:color="000000" w:fill="FFFFFF"/>
            <w:vAlign w:val="center"/>
            <w:hideMark/>
          </w:tcPr>
          <w:p w14:paraId="4C9943C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L - </w:t>
            </w:r>
            <w:proofErr w:type="spellStart"/>
            <w:r w:rsidRPr="00D90F01">
              <w:rPr>
                <w:rFonts w:ascii="Century Gothic" w:eastAsia="Times New Roman" w:hAnsi="Century Gothic" w:cs="Calibri"/>
                <w:color w:val="000000"/>
                <w:sz w:val="17"/>
                <w:szCs w:val="17"/>
                <w:lang w:val="en-US"/>
              </w:rPr>
              <w:t>Lineamiento</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institucional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2ECA4E4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0.271</w:t>
            </w:r>
          </w:p>
        </w:tc>
      </w:tr>
      <w:tr w:rsidR="00D90F01" w:rsidRPr="00D90F01" w14:paraId="04BE2D1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44FFFCE8"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Estadística</w:t>
            </w:r>
            <w:proofErr w:type="spellEnd"/>
            <w:r w:rsidRPr="00D90F01">
              <w:rPr>
                <w:rFonts w:ascii="Century Gothic" w:eastAsia="Times New Roman" w:hAnsi="Century Gothic" w:cs="Calibri"/>
                <w:color w:val="000000"/>
                <w:sz w:val="17"/>
                <w:szCs w:val="17"/>
                <w:lang w:val="en-US"/>
              </w:rPr>
              <w:t xml:space="preserve"> de </w:t>
            </w:r>
            <w:proofErr w:type="spellStart"/>
            <w:r w:rsidRPr="00D90F01">
              <w:rPr>
                <w:rFonts w:ascii="Century Gothic" w:eastAsia="Times New Roman" w:hAnsi="Century Gothic" w:cs="Calibri"/>
                <w:color w:val="000000"/>
                <w:sz w:val="17"/>
                <w:szCs w:val="17"/>
                <w:lang w:val="en-US"/>
              </w:rPr>
              <w:t>Nacimientos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Registrados</w:t>
            </w:r>
            <w:proofErr w:type="spellEnd"/>
          </w:p>
        </w:tc>
        <w:tc>
          <w:tcPr>
            <w:tcW w:w="3544" w:type="dxa"/>
            <w:tcBorders>
              <w:top w:val="nil"/>
              <w:left w:val="nil"/>
              <w:bottom w:val="single" w:sz="8" w:space="0" w:color="BFBFBF"/>
              <w:right w:val="single" w:sz="8" w:space="0" w:color="BFBFBF"/>
            </w:tcBorders>
            <w:shd w:val="clear" w:color="000000" w:fill="FFFFFF"/>
            <w:vAlign w:val="center"/>
            <w:hideMark/>
          </w:tcPr>
          <w:p w14:paraId="2B9616A4"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Estadísticas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Vitales</w:t>
            </w:r>
            <w:proofErr w:type="spellEnd"/>
            <w:r w:rsidRPr="00D90F01">
              <w:rPr>
                <w:rFonts w:ascii="Century Gothic" w:eastAsia="Times New Roman" w:hAnsi="Century Gothic" w:cs="Calibri"/>
                <w:color w:val="000000"/>
                <w:sz w:val="17"/>
                <w:szCs w:val="17"/>
                <w:lang w:val="en-US"/>
              </w:rPr>
              <w:t xml:space="preserve"> – </w:t>
            </w:r>
            <w:proofErr w:type="spellStart"/>
            <w:r w:rsidRPr="00D90F01">
              <w:rPr>
                <w:rFonts w:ascii="Century Gothic" w:eastAsia="Times New Roman" w:hAnsi="Century Gothic" w:cs="Calibri"/>
                <w:color w:val="000000"/>
                <w:sz w:val="17"/>
                <w:szCs w:val="17"/>
                <w:lang w:val="en-US"/>
              </w:rPr>
              <w:t>Nacimientos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registrados</w:t>
            </w:r>
            <w:proofErr w:type="spellEnd"/>
          </w:p>
        </w:tc>
        <w:tc>
          <w:tcPr>
            <w:tcW w:w="1701" w:type="dxa"/>
            <w:tcBorders>
              <w:top w:val="nil"/>
              <w:left w:val="nil"/>
              <w:bottom w:val="single" w:sz="8" w:space="0" w:color="BFBFBF"/>
              <w:right w:val="single" w:sz="8" w:space="0" w:color="BFBFBF"/>
            </w:tcBorders>
            <w:shd w:val="clear" w:color="000000" w:fill="FFFFFF"/>
            <w:noWrap/>
            <w:vAlign w:val="center"/>
            <w:hideMark/>
          </w:tcPr>
          <w:p w14:paraId="37EF5A8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7471F6A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266</w:t>
            </w:r>
          </w:p>
        </w:tc>
        <w:tc>
          <w:tcPr>
            <w:tcW w:w="1276" w:type="dxa"/>
            <w:tcBorders>
              <w:top w:val="nil"/>
              <w:left w:val="nil"/>
              <w:bottom w:val="single" w:sz="8" w:space="0" w:color="BFBFBF"/>
              <w:right w:val="single" w:sz="8" w:space="0" w:color="BFBFBF"/>
            </w:tcBorders>
            <w:shd w:val="clear" w:color="000000" w:fill="FFFFFF"/>
            <w:noWrap/>
            <w:vAlign w:val="center"/>
            <w:hideMark/>
          </w:tcPr>
          <w:p w14:paraId="530FD17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365</w:t>
            </w:r>
          </w:p>
        </w:tc>
        <w:tc>
          <w:tcPr>
            <w:tcW w:w="1959" w:type="dxa"/>
            <w:tcBorders>
              <w:top w:val="nil"/>
              <w:left w:val="nil"/>
              <w:bottom w:val="single" w:sz="8" w:space="0" w:color="BFBFBF"/>
              <w:right w:val="single" w:sz="8" w:space="0" w:color="BFBFBF"/>
            </w:tcBorders>
            <w:shd w:val="clear" w:color="000000" w:fill="FFFFFF"/>
            <w:vAlign w:val="center"/>
            <w:hideMark/>
          </w:tcPr>
          <w:p w14:paraId="20E46F1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7685C40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0.271</w:t>
            </w:r>
          </w:p>
        </w:tc>
      </w:tr>
      <w:tr w:rsidR="00D90F01" w:rsidRPr="00D90F01" w14:paraId="764EC2D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ED59305"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FFFFFF"/>
            <w:vAlign w:val="center"/>
            <w:hideMark/>
          </w:tcPr>
          <w:p w14:paraId="3275E65B"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 Satélite de la Cultura de México.</w:t>
            </w:r>
          </w:p>
        </w:tc>
        <w:tc>
          <w:tcPr>
            <w:tcW w:w="1701" w:type="dxa"/>
            <w:tcBorders>
              <w:top w:val="nil"/>
              <w:left w:val="nil"/>
              <w:bottom w:val="single" w:sz="8" w:space="0" w:color="BFBFBF"/>
              <w:right w:val="single" w:sz="8" w:space="0" w:color="BFBFBF"/>
            </w:tcBorders>
            <w:shd w:val="clear" w:color="000000" w:fill="FFFFFF"/>
            <w:noWrap/>
            <w:vAlign w:val="center"/>
            <w:hideMark/>
          </w:tcPr>
          <w:p w14:paraId="70130C1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25C3E92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325</w:t>
            </w:r>
          </w:p>
        </w:tc>
        <w:tc>
          <w:tcPr>
            <w:tcW w:w="1276" w:type="dxa"/>
            <w:tcBorders>
              <w:top w:val="nil"/>
              <w:left w:val="nil"/>
              <w:bottom w:val="single" w:sz="8" w:space="0" w:color="BFBFBF"/>
              <w:right w:val="single" w:sz="8" w:space="0" w:color="BFBFBF"/>
            </w:tcBorders>
            <w:shd w:val="clear" w:color="000000" w:fill="FFFFFF"/>
            <w:vAlign w:val="center"/>
            <w:hideMark/>
          </w:tcPr>
          <w:p w14:paraId="67D487D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473</w:t>
            </w:r>
          </w:p>
        </w:tc>
        <w:tc>
          <w:tcPr>
            <w:tcW w:w="1959" w:type="dxa"/>
            <w:tcBorders>
              <w:top w:val="nil"/>
              <w:left w:val="nil"/>
              <w:bottom w:val="single" w:sz="8" w:space="0" w:color="BFBFBF"/>
              <w:right w:val="single" w:sz="8" w:space="0" w:color="BFBFBF"/>
            </w:tcBorders>
            <w:shd w:val="clear" w:color="000000" w:fill="FFFFFF"/>
            <w:vAlign w:val="center"/>
            <w:hideMark/>
          </w:tcPr>
          <w:p w14:paraId="5F6CE51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vAlign w:val="center"/>
            <w:hideMark/>
          </w:tcPr>
          <w:p w14:paraId="6F9D082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0.313</w:t>
            </w:r>
          </w:p>
        </w:tc>
      </w:tr>
      <w:tr w:rsidR="00D90F01" w:rsidRPr="00D90F01" w14:paraId="563BD643"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4695A9EA"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Estadística</w:t>
            </w:r>
            <w:proofErr w:type="spellEnd"/>
            <w:r w:rsidRPr="00D90F01">
              <w:rPr>
                <w:rFonts w:ascii="Century Gothic" w:eastAsia="Times New Roman" w:hAnsi="Century Gothic" w:cs="Calibri"/>
                <w:color w:val="000000"/>
                <w:sz w:val="17"/>
                <w:szCs w:val="17"/>
                <w:lang w:val="en-US"/>
              </w:rPr>
              <w:t xml:space="preserve"> de </w:t>
            </w:r>
            <w:proofErr w:type="spellStart"/>
            <w:r w:rsidRPr="00D90F01">
              <w:rPr>
                <w:rFonts w:ascii="Century Gothic" w:eastAsia="Times New Roman" w:hAnsi="Century Gothic" w:cs="Calibri"/>
                <w:color w:val="000000"/>
                <w:sz w:val="17"/>
                <w:szCs w:val="17"/>
                <w:lang w:val="en-US"/>
              </w:rPr>
              <w:t>Defunciones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Fetales</w:t>
            </w:r>
            <w:proofErr w:type="spellEnd"/>
          </w:p>
        </w:tc>
        <w:tc>
          <w:tcPr>
            <w:tcW w:w="3544" w:type="dxa"/>
            <w:tcBorders>
              <w:top w:val="nil"/>
              <w:left w:val="nil"/>
              <w:bottom w:val="single" w:sz="8" w:space="0" w:color="BFBFBF"/>
              <w:right w:val="single" w:sz="8" w:space="0" w:color="BFBFBF"/>
            </w:tcBorders>
            <w:shd w:val="clear" w:color="000000" w:fill="FFFFFF"/>
            <w:vAlign w:val="center"/>
            <w:hideMark/>
          </w:tcPr>
          <w:p w14:paraId="76A460ED"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Estadística</w:t>
            </w:r>
            <w:proofErr w:type="spellEnd"/>
            <w:r w:rsidRPr="00D90F01">
              <w:rPr>
                <w:rFonts w:ascii="Century Gothic" w:eastAsia="Times New Roman" w:hAnsi="Century Gothic" w:cs="Calibri"/>
                <w:color w:val="000000"/>
                <w:sz w:val="17"/>
                <w:szCs w:val="17"/>
                <w:lang w:val="en-US"/>
              </w:rPr>
              <w:t xml:space="preserve"> de </w:t>
            </w:r>
            <w:proofErr w:type="spellStart"/>
            <w:r w:rsidRPr="00D90F01">
              <w:rPr>
                <w:rFonts w:ascii="Century Gothic" w:eastAsia="Times New Roman" w:hAnsi="Century Gothic" w:cs="Calibri"/>
                <w:color w:val="000000"/>
                <w:sz w:val="17"/>
                <w:szCs w:val="17"/>
                <w:lang w:val="en-US"/>
              </w:rPr>
              <w:t>Defunciones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Fetales</w:t>
            </w:r>
            <w:proofErr w:type="spellEnd"/>
          </w:p>
        </w:tc>
        <w:tc>
          <w:tcPr>
            <w:tcW w:w="1701" w:type="dxa"/>
            <w:tcBorders>
              <w:top w:val="nil"/>
              <w:left w:val="nil"/>
              <w:bottom w:val="single" w:sz="8" w:space="0" w:color="BFBFBF"/>
              <w:right w:val="single" w:sz="8" w:space="0" w:color="BFBFBF"/>
            </w:tcBorders>
            <w:shd w:val="clear" w:color="000000" w:fill="FFFFFF"/>
            <w:noWrap/>
            <w:vAlign w:val="center"/>
            <w:hideMark/>
          </w:tcPr>
          <w:p w14:paraId="1B276C0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5267C27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244</w:t>
            </w:r>
          </w:p>
        </w:tc>
        <w:tc>
          <w:tcPr>
            <w:tcW w:w="1276" w:type="dxa"/>
            <w:tcBorders>
              <w:top w:val="nil"/>
              <w:left w:val="nil"/>
              <w:bottom w:val="single" w:sz="8" w:space="0" w:color="BFBFBF"/>
              <w:right w:val="single" w:sz="8" w:space="0" w:color="BFBFBF"/>
            </w:tcBorders>
            <w:shd w:val="clear" w:color="000000" w:fill="FFFFFF"/>
            <w:noWrap/>
            <w:vAlign w:val="center"/>
            <w:hideMark/>
          </w:tcPr>
          <w:p w14:paraId="719C80C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365</w:t>
            </w:r>
          </w:p>
        </w:tc>
        <w:tc>
          <w:tcPr>
            <w:tcW w:w="1959" w:type="dxa"/>
            <w:tcBorders>
              <w:top w:val="nil"/>
              <w:left w:val="nil"/>
              <w:bottom w:val="single" w:sz="8" w:space="0" w:color="BFBFBF"/>
              <w:right w:val="single" w:sz="8" w:space="0" w:color="BFBFBF"/>
            </w:tcBorders>
            <w:shd w:val="clear" w:color="000000" w:fill="FFFFFF"/>
            <w:vAlign w:val="center"/>
            <w:hideMark/>
          </w:tcPr>
          <w:p w14:paraId="1C0671C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3E47740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0.332</w:t>
            </w:r>
          </w:p>
        </w:tc>
      </w:tr>
      <w:tr w:rsidR="00D90F01" w:rsidRPr="00D90F01" w14:paraId="67677BF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5097A36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comercio. Encuesta Anual de Comercio</w:t>
            </w:r>
          </w:p>
        </w:tc>
        <w:tc>
          <w:tcPr>
            <w:tcW w:w="3544" w:type="dxa"/>
            <w:tcBorders>
              <w:top w:val="nil"/>
              <w:left w:val="nil"/>
              <w:bottom w:val="single" w:sz="8" w:space="0" w:color="BFBFBF"/>
              <w:right w:val="single" w:sz="8" w:space="0" w:color="BFBFBF"/>
            </w:tcBorders>
            <w:shd w:val="clear" w:color="000000" w:fill="DEEAF6"/>
            <w:vAlign w:val="center"/>
            <w:hideMark/>
          </w:tcPr>
          <w:p w14:paraId="64638E50"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Encuesta</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Anual</w:t>
            </w:r>
            <w:proofErr w:type="spellEnd"/>
            <w:r w:rsidRPr="00D90F01">
              <w:rPr>
                <w:rFonts w:ascii="Century Gothic" w:eastAsia="Times New Roman" w:hAnsi="Century Gothic" w:cs="Calibri"/>
                <w:color w:val="000000"/>
                <w:sz w:val="17"/>
                <w:szCs w:val="17"/>
                <w:lang w:val="en-US"/>
              </w:rPr>
              <w:t xml:space="preserve"> del Comercio</w:t>
            </w:r>
          </w:p>
        </w:tc>
        <w:tc>
          <w:tcPr>
            <w:tcW w:w="1701" w:type="dxa"/>
            <w:tcBorders>
              <w:top w:val="nil"/>
              <w:left w:val="nil"/>
              <w:bottom w:val="single" w:sz="8" w:space="0" w:color="BFBFBF"/>
              <w:right w:val="single" w:sz="8" w:space="0" w:color="BFBFBF"/>
            </w:tcBorders>
            <w:shd w:val="clear" w:color="000000" w:fill="DEEAF6"/>
            <w:noWrap/>
            <w:vAlign w:val="center"/>
            <w:hideMark/>
          </w:tcPr>
          <w:p w14:paraId="5A57773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688659B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276" w:type="dxa"/>
            <w:tcBorders>
              <w:top w:val="nil"/>
              <w:left w:val="nil"/>
              <w:bottom w:val="single" w:sz="8" w:space="0" w:color="BFBFBF"/>
              <w:right w:val="single" w:sz="8" w:space="0" w:color="BFBFBF"/>
            </w:tcBorders>
            <w:shd w:val="clear" w:color="000000" w:fill="DEEAF6"/>
            <w:noWrap/>
            <w:vAlign w:val="center"/>
            <w:hideMark/>
          </w:tcPr>
          <w:p w14:paraId="052DAE2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547</w:t>
            </w:r>
          </w:p>
        </w:tc>
        <w:tc>
          <w:tcPr>
            <w:tcW w:w="1959" w:type="dxa"/>
            <w:tcBorders>
              <w:top w:val="nil"/>
              <w:left w:val="nil"/>
              <w:bottom w:val="single" w:sz="8" w:space="0" w:color="BFBFBF"/>
              <w:right w:val="single" w:sz="8" w:space="0" w:color="BFBFBF"/>
            </w:tcBorders>
            <w:shd w:val="clear" w:color="000000" w:fill="DEEAF6"/>
            <w:vAlign w:val="center"/>
            <w:hideMark/>
          </w:tcPr>
          <w:p w14:paraId="447F101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5999413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0.360</w:t>
            </w:r>
          </w:p>
        </w:tc>
      </w:tr>
      <w:tr w:rsidR="00D90F01" w:rsidRPr="00D90F01" w14:paraId="06695BF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080AF01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empresas constructoras. Encuesta Anual de Empresas Constructoras</w:t>
            </w:r>
          </w:p>
        </w:tc>
        <w:tc>
          <w:tcPr>
            <w:tcW w:w="3544" w:type="dxa"/>
            <w:tcBorders>
              <w:top w:val="nil"/>
              <w:left w:val="nil"/>
              <w:bottom w:val="single" w:sz="8" w:space="0" w:color="BFBFBF"/>
              <w:right w:val="single" w:sz="8" w:space="0" w:color="BFBFBF"/>
            </w:tcBorders>
            <w:shd w:val="clear" w:color="000000" w:fill="DEEAF6"/>
            <w:vAlign w:val="center"/>
            <w:hideMark/>
          </w:tcPr>
          <w:p w14:paraId="26AA9CB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Anual de Empresas Constructoras</w:t>
            </w:r>
          </w:p>
        </w:tc>
        <w:tc>
          <w:tcPr>
            <w:tcW w:w="1701" w:type="dxa"/>
            <w:tcBorders>
              <w:top w:val="nil"/>
              <w:left w:val="nil"/>
              <w:bottom w:val="single" w:sz="8" w:space="0" w:color="BFBFBF"/>
              <w:right w:val="single" w:sz="8" w:space="0" w:color="BFBFBF"/>
            </w:tcBorders>
            <w:shd w:val="clear" w:color="000000" w:fill="DEEAF6"/>
            <w:noWrap/>
            <w:vAlign w:val="center"/>
            <w:hideMark/>
          </w:tcPr>
          <w:p w14:paraId="7A4C09C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5220E31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276" w:type="dxa"/>
            <w:tcBorders>
              <w:top w:val="nil"/>
              <w:left w:val="nil"/>
              <w:bottom w:val="single" w:sz="8" w:space="0" w:color="BFBFBF"/>
              <w:right w:val="single" w:sz="8" w:space="0" w:color="BFBFBF"/>
            </w:tcBorders>
            <w:shd w:val="clear" w:color="000000" w:fill="DEEAF6"/>
            <w:noWrap/>
            <w:vAlign w:val="center"/>
            <w:hideMark/>
          </w:tcPr>
          <w:p w14:paraId="52B4356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547</w:t>
            </w:r>
          </w:p>
        </w:tc>
        <w:tc>
          <w:tcPr>
            <w:tcW w:w="1959" w:type="dxa"/>
            <w:tcBorders>
              <w:top w:val="nil"/>
              <w:left w:val="nil"/>
              <w:bottom w:val="single" w:sz="8" w:space="0" w:color="BFBFBF"/>
              <w:right w:val="single" w:sz="8" w:space="0" w:color="BFBFBF"/>
            </w:tcBorders>
            <w:shd w:val="clear" w:color="000000" w:fill="DEEAF6"/>
            <w:vAlign w:val="center"/>
            <w:hideMark/>
          </w:tcPr>
          <w:p w14:paraId="66729B8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55C51FF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0.360</w:t>
            </w:r>
          </w:p>
        </w:tc>
      </w:tr>
      <w:tr w:rsidR="00D90F01" w:rsidRPr="00D90F01" w14:paraId="67C37AA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12F91262"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industrias manufactureras. Encuesta Anual de la Industria Manufacturera</w:t>
            </w:r>
          </w:p>
        </w:tc>
        <w:tc>
          <w:tcPr>
            <w:tcW w:w="3544" w:type="dxa"/>
            <w:tcBorders>
              <w:top w:val="nil"/>
              <w:left w:val="nil"/>
              <w:bottom w:val="single" w:sz="8" w:space="0" w:color="BFBFBF"/>
              <w:right w:val="single" w:sz="8" w:space="0" w:color="BFBFBF"/>
            </w:tcBorders>
            <w:shd w:val="clear" w:color="000000" w:fill="DEEAF6"/>
            <w:vAlign w:val="center"/>
            <w:hideMark/>
          </w:tcPr>
          <w:p w14:paraId="7842E74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Anual de la Industria Manufacturera</w:t>
            </w:r>
          </w:p>
        </w:tc>
        <w:tc>
          <w:tcPr>
            <w:tcW w:w="1701" w:type="dxa"/>
            <w:tcBorders>
              <w:top w:val="nil"/>
              <w:left w:val="nil"/>
              <w:bottom w:val="single" w:sz="8" w:space="0" w:color="BFBFBF"/>
              <w:right w:val="single" w:sz="8" w:space="0" w:color="BFBFBF"/>
            </w:tcBorders>
            <w:shd w:val="clear" w:color="000000" w:fill="DEEAF6"/>
            <w:noWrap/>
            <w:vAlign w:val="center"/>
            <w:hideMark/>
          </w:tcPr>
          <w:p w14:paraId="39B093E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46269C1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276" w:type="dxa"/>
            <w:tcBorders>
              <w:top w:val="nil"/>
              <w:left w:val="nil"/>
              <w:bottom w:val="single" w:sz="8" w:space="0" w:color="BFBFBF"/>
              <w:right w:val="single" w:sz="8" w:space="0" w:color="BFBFBF"/>
            </w:tcBorders>
            <w:shd w:val="clear" w:color="000000" w:fill="DEEAF6"/>
            <w:noWrap/>
            <w:vAlign w:val="center"/>
            <w:hideMark/>
          </w:tcPr>
          <w:p w14:paraId="523E3D3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547</w:t>
            </w:r>
          </w:p>
        </w:tc>
        <w:tc>
          <w:tcPr>
            <w:tcW w:w="1959" w:type="dxa"/>
            <w:tcBorders>
              <w:top w:val="nil"/>
              <w:left w:val="nil"/>
              <w:bottom w:val="single" w:sz="8" w:space="0" w:color="BFBFBF"/>
              <w:right w:val="single" w:sz="8" w:space="0" w:color="BFBFBF"/>
            </w:tcBorders>
            <w:shd w:val="clear" w:color="000000" w:fill="DEEAF6"/>
            <w:vAlign w:val="center"/>
            <w:hideMark/>
          </w:tcPr>
          <w:p w14:paraId="38C08A8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4D8E50E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0.360</w:t>
            </w:r>
          </w:p>
        </w:tc>
      </w:tr>
      <w:tr w:rsidR="00D90F01" w:rsidRPr="00D90F01" w14:paraId="0AD601FF"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51460BE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servicios y transportes. Encuesta Anual de Servicios Privados no Financieros</w:t>
            </w:r>
          </w:p>
        </w:tc>
        <w:tc>
          <w:tcPr>
            <w:tcW w:w="3544" w:type="dxa"/>
            <w:tcBorders>
              <w:top w:val="nil"/>
              <w:left w:val="nil"/>
              <w:bottom w:val="single" w:sz="8" w:space="0" w:color="BFBFBF"/>
              <w:right w:val="single" w:sz="8" w:space="0" w:color="BFBFBF"/>
            </w:tcBorders>
            <w:shd w:val="clear" w:color="000000" w:fill="DEEAF6"/>
            <w:vAlign w:val="center"/>
            <w:hideMark/>
          </w:tcPr>
          <w:p w14:paraId="07425FB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Anual de Servicios Privados No Financieros</w:t>
            </w:r>
          </w:p>
        </w:tc>
        <w:tc>
          <w:tcPr>
            <w:tcW w:w="1701" w:type="dxa"/>
            <w:tcBorders>
              <w:top w:val="nil"/>
              <w:left w:val="nil"/>
              <w:bottom w:val="single" w:sz="8" w:space="0" w:color="BFBFBF"/>
              <w:right w:val="single" w:sz="8" w:space="0" w:color="BFBFBF"/>
            </w:tcBorders>
            <w:shd w:val="clear" w:color="000000" w:fill="DEEAF6"/>
            <w:noWrap/>
            <w:vAlign w:val="center"/>
            <w:hideMark/>
          </w:tcPr>
          <w:p w14:paraId="185F23C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14EBA45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276" w:type="dxa"/>
            <w:tcBorders>
              <w:top w:val="nil"/>
              <w:left w:val="nil"/>
              <w:bottom w:val="single" w:sz="8" w:space="0" w:color="BFBFBF"/>
              <w:right w:val="single" w:sz="8" w:space="0" w:color="BFBFBF"/>
            </w:tcBorders>
            <w:shd w:val="clear" w:color="000000" w:fill="DEEAF6"/>
            <w:noWrap/>
            <w:vAlign w:val="center"/>
            <w:hideMark/>
          </w:tcPr>
          <w:p w14:paraId="2F0D6A4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547</w:t>
            </w:r>
          </w:p>
        </w:tc>
        <w:tc>
          <w:tcPr>
            <w:tcW w:w="1959" w:type="dxa"/>
            <w:tcBorders>
              <w:top w:val="nil"/>
              <w:left w:val="nil"/>
              <w:bottom w:val="single" w:sz="8" w:space="0" w:color="BFBFBF"/>
              <w:right w:val="single" w:sz="8" w:space="0" w:color="BFBFBF"/>
            </w:tcBorders>
            <w:shd w:val="clear" w:color="000000" w:fill="DEEAF6"/>
            <w:vAlign w:val="center"/>
            <w:hideMark/>
          </w:tcPr>
          <w:p w14:paraId="30B35EF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6C4E170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0.360</w:t>
            </w:r>
          </w:p>
        </w:tc>
      </w:tr>
      <w:tr w:rsidR="00D90F01" w:rsidRPr="00D90F01" w14:paraId="6DAF776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4F174BC2"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Encuestas de servicios y transportes. Encuesta Anual de Transportes</w:t>
            </w:r>
          </w:p>
        </w:tc>
        <w:tc>
          <w:tcPr>
            <w:tcW w:w="3544" w:type="dxa"/>
            <w:tcBorders>
              <w:top w:val="nil"/>
              <w:left w:val="nil"/>
              <w:bottom w:val="single" w:sz="8" w:space="0" w:color="BFBFBF"/>
              <w:right w:val="single" w:sz="8" w:space="0" w:color="BFBFBF"/>
            </w:tcBorders>
            <w:shd w:val="clear" w:color="000000" w:fill="DEEAF6"/>
            <w:vAlign w:val="center"/>
            <w:hideMark/>
          </w:tcPr>
          <w:p w14:paraId="4BC22D30"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Encuesta</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Anual</w:t>
            </w:r>
            <w:proofErr w:type="spellEnd"/>
            <w:r w:rsidRPr="00D90F01">
              <w:rPr>
                <w:rFonts w:ascii="Century Gothic" w:eastAsia="Times New Roman" w:hAnsi="Century Gothic" w:cs="Calibri"/>
                <w:color w:val="000000"/>
                <w:sz w:val="17"/>
                <w:szCs w:val="17"/>
                <w:lang w:val="en-US"/>
              </w:rPr>
              <w:t xml:space="preserve"> de </w:t>
            </w:r>
            <w:proofErr w:type="spellStart"/>
            <w:r w:rsidRPr="00D90F01">
              <w:rPr>
                <w:rFonts w:ascii="Century Gothic" w:eastAsia="Times New Roman" w:hAnsi="Century Gothic" w:cs="Calibri"/>
                <w:color w:val="000000"/>
                <w:sz w:val="17"/>
                <w:szCs w:val="17"/>
                <w:lang w:val="en-US"/>
              </w:rPr>
              <w:t>Transportes</w:t>
            </w:r>
            <w:proofErr w:type="spellEnd"/>
          </w:p>
        </w:tc>
        <w:tc>
          <w:tcPr>
            <w:tcW w:w="1701" w:type="dxa"/>
            <w:tcBorders>
              <w:top w:val="nil"/>
              <w:left w:val="nil"/>
              <w:bottom w:val="single" w:sz="8" w:space="0" w:color="BFBFBF"/>
              <w:right w:val="single" w:sz="8" w:space="0" w:color="BFBFBF"/>
            </w:tcBorders>
            <w:shd w:val="clear" w:color="000000" w:fill="DEEAF6"/>
            <w:noWrap/>
            <w:vAlign w:val="center"/>
            <w:hideMark/>
          </w:tcPr>
          <w:p w14:paraId="734C70D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5692B3B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276" w:type="dxa"/>
            <w:tcBorders>
              <w:top w:val="nil"/>
              <w:left w:val="nil"/>
              <w:bottom w:val="single" w:sz="8" w:space="0" w:color="BFBFBF"/>
              <w:right w:val="single" w:sz="8" w:space="0" w:color="BFBFBF"/>
            </w:tcBorders>
            <w:shd w:val="clear" w:color="000000" w:fill="DEEAF6"/>
            <w:noWrap/>
            <w:vAlign w:val="center"/>
            <w:hideMark/>
          </w:tcPr>
          <w:p w14:paraId="5506316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547</w:t>
            </w:r>
          </w:p>
        </w:tc>
        <w:tc>
          <w:tcPr>
            <w:tcW w:w="1959" w:type="dxa"/>
            <w:tcBorders>
              <w:top w:val="nil"/>
              <w:left w:val="nil"/>
              <w:bottom w:val="single" w:sz="8" w:space="0" w:color="BFBFBF"/>
              <w:right w:val="single" w:sz="8" w:space="0" w:color="BFBFBF"/>
            </w:tcBorders>
            <w:shd w:val="clear" w:color="000000" w:fill="DEEAF6"/>
            <w:vAlign w:val="center"/>
            <w:hideMark/>
          </w:tcPr>
          <w:p w14:paraId="69A20AC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0884E77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0.360</w:t>
            </w:r>
          </w:p>
        </w:tc>
      </w:tr>
      <w:tr w:rsidR="00D90F01" w:rsidRPr="00D90F01" w14:paraId="4639E30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7F854BD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37BC5133"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Producto Interno Bruto a Precios Constantes</w:t>
            </w:r>
          </w:p>
        </w:tc>
        <w:tc>
          <w:tcPr>
            <w:tcW w:w="1701" w:type="dxa"/>
            <w:tcBorders>
              <w:top w:val="nil"/>
              <w:left w:val="nil"/>
              <w:bottom w:val="single" w:sz="8" w:space="0" w:color="BFBFBF"/>
              <w:right w:val="single" w:sz="8" w:space="0" w:color="BFBFBF"/>
            </w:tcBorders>
            <w:shd w:val="clear" w:color="000000" w:fill="FFFFFF"/>
            <w:noWrap/>
            <w:vAlign w:val="center"/>
            <w:hideMark/>
          </w:tcPr>
          <w:p w14:paraId="4E83EB5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FFFFFF"/>
            <w:vAlign w:val="center"/>
            <w:hideMark/>
          </w:tcPr>
          <w:p w14:paraId="35E946D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56.5</w:t>
            </w:r>
          </w:p>
        </w:tc>
        <w:tc>
          <w:tcPr>
            <w:tcW w:w="1276" w:type="dxa"/>
            <w:tcBorders>
              <w:top w:val="nil"/>
              <w:left w:val="nil"/>
              <w:bottom w:val="single" w:sz="8" w:space="0" w:color="BFBFBF"/>
              <w:right w:val="single" w:sz="8" w:space="0" w:color="BFBFBF"/>
            </w:tcBorders>
            <w:shd w:val="clear" w:color="000000" w:fill="FFFFFF"/>
            <w:vAlign w:val="center"/>
            <w:hideMark/>
          </w:tcPr>
          <w:p w14:paraId="514EBFA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90</w:t>
            </w:r>
          </w:p>
        </w:tc>
        <w:tc>
          <w:tcPr>
            <w:tcW w:w="1959" w:type="dxa"/>
            <w:tcBorders>
              <w:top w:val="nil"/>
              <w:left w:val="nil"/>
              <w:bottom w:val="single" w:sz="8" w:space="0" w:color="BFBFBF"/>
              <w:right w:val="single" w:sz="8" w:space="0" w:color="BFBFBF"/>
            </w:tcBorders>
            <w:shd w:val="clear" w:color="000000" w:fill="FFFFFF"/>
            <w:vAlign w:val="center"/>
            <w:hideMark/>
          </w:tcPr>
          <w:p w14:paraId="551C446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w:t>
            </w:r>
            <w:proofErr w:type="spellStart"/>
            <w:r w:rsidRPr="00D90F01">
              <w:rPr>
                <w:rFonts w:ascii="Century Gothic" w:eastAsia="Times New Roman" w:hAnsi="Century Gothic" w:cs="Calibri"/>
                <w:color w:val="000000"/>
                <w:sz w:val="17"/>
                <w:szCs w:val="17"/>
                <w:lang w:val="en-US"/>
              </w:rPr>
              <w:t>Estándar</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FFFFFF"/>
            <w:vAlign w:val="center"/>
            <w:hideMark/>
          </w:tcPr>
          <w:p w14:paraId="387A487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0.372</w:t>
            </w:r>
          </w:p>
        </w:tc>
      </w:tr>
      <w:tr w:rsidR="00D90F01" w:rsidRPr="00D90F01" w14:paraId="3BDD934B"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5C7646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3D647E1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Producto Interno Bruto a Precios Corrientes</w:t>
            </w:r>
          </w:p>
        </w:tc>
        <w:tc>
          <w:tcPr>
            <w:tcW w:w="1701" w:type="dxa"/>
            <w:tcBorders>
              <w:top w:val="nil"/>
              <w:left w:val="nil"/>
              <w:bottom w:val="single" w:sz="8" w:space="0" w:color="BFBFBF"/>
              <w:right w:val="single" w:sz="8" w:space="0" w:color="BFBFBF"/>
            </w:tcBorders>
            <w:shd w:val="clear" w:color="000000" w:fill="FFFFFF"/>
            <w:noWrap/>
            <w:vAlign w:val="center"/>
            <w:hideMark/>
          </w:tcPr>
          <w:p w14:paraId="53471A8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FFFFFF"/>
            <w:vAlign w:val="center"/>
            <w:hideMark/>
          </w:tcPr>
          <w:p w14:paraId="69D2119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56.5</w:t>
            </w:r>
          </w:p>
        </w:tc>
        <w:tc>
          <w:tcPr>
            <w:tcW w:w="1276" w:type="dxa"/>
            <w:tcBorders>
              <w:top w:val="nil"/>
              <w:left w:val="nil"/>
              <w:bottom w:val="single" w:sz="8" w:space="0" w:color="BFBFBF"/>
              <w:right w:val="single" w:sz="8" w:space="0" w:color="BFBFBF"/>
            </w:tcBorders>
            <w:shd w:val="clear" w:color="000000" w:fill="FFFFFF"/>
            <w:vAlign w:val="center"/>
            <w:hideMark/>
          </w:tcPr>
          <w:p w14:paraId="3AF90E6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90</w:t>
            </w:r>
          </w:p>
        </w:tc>
        <w:tc>
          <w:tcPr>
            <w:tcW w:w="1959" w:type="dxa"/>
            <w:tcBorders>
              <w:top w:val="nil"/>
              <w:left w:val="nil"/>
              <w:bottom w:val="single" w:sz="8" w:space="0" w:color="BFBFBF"/>
              <w:right w:val="single" w:sz="8" w:space="0" w:color="BFBFBF"/>
            </w:tcBorders>
            <w:shd w:val="clear" w:color="000000" w:fill="FFFFFF"/>
            <w:vAlign w:val="center"/>
            <w:hideMark/>
          </w:tcPr>
          <w:p w14:paraId="7FA9F1E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w:t>
            </w:r>
            <w:proofErr w:type="spellStart"/>
            <w:r w:rsidRPr="00D90F01">
              <w:rPr>
                <w:rFonts w:ascii="Century Gothic" w:eastAsia="Times New Roman" w:hAnsi="Century Gothic" w:cs="Calibri"/>
                <w:color w:val="000000"/>
                <w:sz w:val="17"/>
                <w:szCs w:val="17"/>
                <w:lang w:val="en-US"/>
              </w:rPr>
              <w:t>Estándar</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FFFFFF"/>
            <w:vAlign w:val="center"/>
            <w:hideMark/>
          </w:tcPr>
          <w:p w14:paraId="35B3555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0.372</w:t>
            </w:r>
          </w:p>
        </w:tc>
      </w:tr>
      <w:tr w:rsidR="00D90F01" w:rsidRPr="00D90F01" w14:paraId="5DD8A4B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E686FE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Balanza Comercial de Mercancías de México</w:t>
            </w:r>
          </w:p>
        </w:tc>
        <w:tc>
          <w:tcPr>
            <w:tcW w:w="3544" w:type="dxa"/>
            <w:tcBorders>
              <w:top w:val="nil"/>
              <w:left w:val="nil"/>
              <w:bottom w:val="single" w:sz="8" w:space="0" w:color="BFBFBF"/>
              <w:right w:val="single" w:sz="8" w:space="0" w:color="BFBFBF"/>
            </w:tcBorders>
            <w:shd w:val="clear" w:color="000000" w:fill="FFFFFF"/>
            <w:vAlign w:val="center"/>
            <w:hideMark/>
          </w:tcPr>
          <w:p w14:paraId="479A9C1B"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Balanza Comercial de Mercancías de México (oportuna)</w:t>
            </w:r>
          </w:p>
        </w:tc>
        <w:tc>
          <w:tcPr>
            <w:tcW w:w="1701" w:type="dxa"/>
            <w:tcBorders>
              <w:top w:val="nil"/>
              <w:left w:val="nil"/>
              <w:bottom w:val="single" w:sz="8" w:space="0" w:color="BFBFBF"/>
              <w:right w:val="single" w:sz="8" w:space="0" w:color="BFBFBF"/>
            </w:tcBorders>
            <w:shd w:val="clear" w:color="000000" w:fill="FFFFFF"/>
            <w:noWrap/>
            <w:vAlign w:val="center"/>
            <w:hideMark/>
          </w:tcPr>
          <w:p w14:paraId="11639CD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3583ABB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27</w:t>
            </w:r>
          </w:p>
        </w:tc>
        <w:tc>
          <w:tcPr>
            <w:tcW w:w="1276" w:type="dxa"/>
            <w:tcBorders>
              <w:top w:val="nil"/>
              <w:left w:val="nil"/>
              <w:bottom w:val="single" w:sz="8" w:space="0" w:color="BFBFBF"/>
              <w:right w:val="single" w:sz="8" w:space="0" w:color="BFBFBF"/>
            </w:tcBorders>
            <w:shd w:val="clear" w:color="000000" w:fill="FFFFFF"/>
            <w:vAlign w:val="center"/>
            <w:hideMark/>
          </w:tcPr>
          <w:p w14:paraId="175F17E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FFFFFF"/>
            <w:vAlign w:val="center"/>
            <w:hideMark/>
          </w:tcPr>
          <w:p w14:paraId="3625720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w:t>
            </w:r>
            <w:proofErr w:type="spellStart"/>
            <w:r w:rsidRPr="00D90F01">
              <w:rPr>
                <w:rFonts w:ascii="Century Gothic" w:eastAsia="Times New Roman" w:hAnsi="Century Gothic" w:cs="Calibri"/>
                <w:color w:val="000000"/>
                <w:sz w:val="17"/>
                <w:szCs w:val="17"/>
                <w:lang w:val="en-US"/>
              </w:rPr>
              <w:t>Estándar</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FFFFFF"/>
            <w:vAlign w:val="center"/>
            <w:hideMark/>
          </w:tcPr>
          <w:p w14:paraId="55955B3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0.400</w:t>
            </w:r>
          </w:p>
        </w:tc>
      </w:tr>
      <w:tr w:rsidR="00D90F01" w:rsidRPr="00D90F01" w14:paraId="636BED5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5B34F87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industrias manufactureras. Encuesta Mensual de la Industria Manufacturera</w:t>
            </w:r>
          </w:p>
        </w:tc>
        <w:tc>
          <w:tcPr>
            <w:tcW w:w="3544" w:type="dxa"/>
            <w:tcBorders>
              <w:top w:val="nil"/>
              <w:left w:val="nil"/>
              <w:bottom w:val="single" w:sz="8" w:space="0" w:color="BFBFBF"/>
              <w:right w:val="single" w:sz="8" w:space="0" w:color="BFBFBF"/>
            </w:tcBorders>
            <w:shd w:val="clear" w:color="000000" w:fill="FFFFFF"/>
            <w:vAlign w:val="center"/>
            <w:hideMark/>
          </w:tcPr>
          <w:p w14:paraId="1A2CFF9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Perfil de las Empresas Manufactureras de Exportación</w:t>
            </w:r>
          </w:p>
        </w:tc>
        <w:tc>
          <w:tcPr>
            <w:tcW w:w="1701" w:type="dxa"/>
            <w:tcBorders>
              <w:top w:val="nil"/>
              <w:left w:val="nil"/>
              <w:bottom w:val="single" w:sz="8" w:space="0" w:color="BFBFBF"/>
              <w:right w:val="single" w:sz="8" w:space="0" w:color="BFBFBF"/>
            </w:tcBorders>
            <w:shd w:val="clear" w:color="000000" w:fill="FFFFFF"/>
            <w:noWrap/>
            <w:vAlign w:val="center"/>
            <w:hideMark/>
          </w:tcPr>
          <w:p w14:paraId="4B552DB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1DC7059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274</w:t>
            </w:r>
          </w:p>
        </w:tc>
        <w:tc>
          <w:tcPr>
            <w:tcW w:w="1276" w:type="dxa"/>
            <w:tcBorders>
              <w:top w:val="nil"/>
              <w:left w:val="nil"/>
              <w:bottom w:val="single" w:sz="8" w:space="0" w:color="BFBFBF"/>
              <w:right w:val="single" w:sz="8" w:space="0" w:color="BFBFBF"/>
            </w:tcBorders>
            <w:shd w:val="clear" w:color="000000" w:fill="FFFFFF"/>
            <w:noWrap/>
            <w:vAlign w:val="center"/>
            <w:hideMark/>
          </w:tcPr>
          <w:p w14:paraId="772D67D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540</w:t>
            </w:r>
          </w:p>
        </w:tc>
        <w:tc>
          <w:tcPr>
            <w:tcW w:w="1959" w:type="dxa"/>
            <w:tcBorders>
              <w:top w:val="nil"/>
              <w:left w:val="nil"/>
              <w:bottom w:val="single" w:sz="8" w:space="0" w:color="BFBFBF"/>
              <w:right w:val="single" w:sz="8" w:space="0" w:color="BFBFBF"/>
            </w:tcBorders>
            <w:shd w:val="clear" w:color="000000" w:fill="FFFFFF"/>
            <w:vAlign w:val="center"/>
            <w:hideMark/>
          </w:tcPr>
          <w:p w14:paraId="23F5669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noWrap/>
            <w:vAlign w:val="center"/>
            <w:hideMark/>
          </w:tcPr>
          <w:p w14:paraId="186E883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0.493</w:t>
            </w:r>
          </w:p>
        </w:tc>
      </w:tr>
      <w:tr w:rsidR="00D90F01" w:rsidRPr="00D90F01" w14:paraId="51B370B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E7CC9CB"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Sacrificio de Ganado en Rastros Municipales</w:t>
            </w:r>
          </w:p>
        </w:tc>
        <w:tc>
          <w:tcPr>
            <w:tcW w:w="3544" w:type="dxa"/>
            <w:tcBorders>
              <w:top w:val="nil"/>
              <w:left w:val="nil"/>
              <w:bottom w:val="single" w:sz="8" w:space="0" w:color="BFBFBF"/>
              <w:right w:val="single" w:sz="8" w:space="0" w:color="BFBFBF"/>
            </w:tcBorders>
            <w:shd w:val="clear" w:color="000000" w:fill="DEEAF6"/>
            <w:vAlign w:val="center"/>
            <w:hideMark/>
          </w:tcPr>
          <w:p w14:paraId="54564A82"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Sacrificio de Ganado en Rastros Municipales (ESGRM).</w:t>
            </w:r>
          </w:p>
        </w:tc>
        <w:tc>
          <w:tcPr>
            <w:tcW w:w="1701" w:type="dxa"/>
            <w:tcBorders>
              <w:top w:val="nil"/>
              <w:left w:val="nil"/>
              <w:bottom w:val="single" w:sz="8" w:space="0" w:color="BFBFBF"/>
              <w:right w:val="single" w:sz="8" w:space="0" w:color="BFBFBF"/>
            </w:tcBorders>
            <w:shd w:val="clear" w:color="000000" w:fill="DEEAF6"/>
            <w:vAlign w:val="center"/>
            <w:hideMark/>
          </w:tcPr>
          <w:p w14:paraId="0D754E4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684970C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90</w:t>
            </w:r>
          </w:p>
        </w:tc>
        <w:tc>
          <w:tcPr>
            <w:tcW w:w="1276" w:type="dxa"/>
            <w:tcBorders>
              <w:top w:val="nil"/>
              <w:left w:val="nil"/>
              <w:bottom w:val="single" w:sz="8" w:space="0" w:color="BFBFBF"/>
              <w:right w:val="single" w:sz="8" w:space="0" w:color="BFBFBF"/>
            </w:tcBorders>
            <w:shd w:val="clear" w:color="000000" w:fill="DEEAF6"/>
            <w:vAlign w:val="center"/>
            <w:hideMark/>
          </w:tcPr>
          <w:p w14:paraId="6477905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180</w:t>
            </w:r>
          </w:p>
        </w:tc>
        <w:tc>
          <w:tcPr>
            <w:tcW w:w="1959" w:type="dxa"/>
            <w:tcBorders>
              <w:top w:val="nil"/>
              <w:left w:val="nil"/>
              <w:bottom w:val="single" w:sz="8" w:space="0" w:color="BFBFBF"/>
              <w:right w:val="single" w:sz="8" w:space="0" w:color="BFBFBF"/>
            </w:tcBorders>
            <w:shd w:val="clear" w:color="000000" w:fill="DEEAF6"/>
            <w:vAlign w:val="center"/>
            <w:hideMark/>
          </w:tcPr>
          <w:p w14:paraId="59E8B5C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4F92E6F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0.500</w:t>
            </w:r>
          </w:p>
        </w:tc>
      </w:tr>
      <w:tr w:rsidR="00D90F01" w:rsidRPr="00D90F01" w14:paraId="6ED5B183"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BF8E8C9"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w:t>
            </w:r>
          </w:p>
        </w:tc>
        <w:tc>
          <w:tcPr>
            <w:tcW w:w="3544" w:type="dxa"/>
            <w:tcBorders>
              <w:top w:val="nil"/>
              <w:left w:val="nil"/>
              <w:bottom w:val="single" w:sz="8" w:space="0" w:color="BFBFBF"/>
              <w:right w:val="single" w:sz="8" w:space="0" w:color="BFBFBF"/>
            </w:tcBorders>
            <w:shd w:val="clear" w:color="000000" w:fill="DEEAF6"/>
            <w:vAlign w:val="center"/>
            <w:hideMark/>
          </w:tcPr>
          <w:p w14:paraId="470756F6"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Catálogo Único de Claves de Áreas Geoestadísticas Estatales, Municipales y Localidades.</w:t>
            </w:r>
          </w:p>
        </w:tc>
        <w:tc>
          <w:tcPr>
            <w:tcW w:w="1701" w:type="dxa"/>
            <w:tcBorders>
              <w:top w:val="nil"/>
              <w:left w:val="nil"/>
              <w:bottom w:val="single" w:sz="8" w:space="0" w:color="BFBFBF"/>
              <w:right w:val="single" w:sz="8" w:space="0" w:color="BFBFBF"/>
            </w:tcBorders>
            <w:shd w:val="clear" w:color="000000" w:fill="DEEAF6"/>
            <w:noWrap/>
            <w:vAlign w:val="center"/>
            <w:hideMark/>
          </w:tcPr>
          <w:p w14:paraId="7FA0039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38B6AB1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15</w:t>
            </w:r>
          </w:p>
        </w:tc>
        <w:tc>
          <w:tcPr>
            <w:tcW w:w="1276" w:type="dxa"/>
            <w:tcBorders>
              <w:top w:val="nil"/>
              <w:left w:val="nil"/>
              <w:bottom w:val="single" w:sz="8" w:space="0" w:color="BFBFBF"/>
              <w:right w:val="single" w:sz="8" w:space="0" w:color="BFBFBF"/>
            </w:tcBorders>
            <w:shd w:val="clear" w:color="000000" w:fill="DEEAF6"/>
            <w:noWrap/>
            <w:vAlign w:val="center"/>
            <w:hideMark/>
          </w:tcPr>
          <w:p w14:paraId="52CE9FA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w:t>
            </w:r>
          </w:p>
        </w:tc>
        <w:tc>
          <w:tcPr>
            <w:tcW w:w="1959" w:type="dxa"/>
            <w:tcBorders>
              <w:top w:val="nil"/>
              <w:left w:val="nil"/>
              <w:bottom w:val="single" w:sz="8" w:space="0" w:color="BFBFBF"/>
              <w:right w:val="single" w:sz="8" w:space="0" w:color="BFBFBF"/>
            </w:tcBorders>
            <w:shd w:val="clear" w:color="000000" w:fill="DEEAF6"/>
            <w:vAlign w:val="center"/>
            <w:hideMark/>
          </w:tcPr>
          <w:p w14:paraId="5BCF544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I - </w:t>
            </w:r>
            <w:proofErr w:type="spellStart"/>
            <w:r w:rsidRPr="00D90F01">
              <w:rPr>
                <w:rFonts w:ascii="Century Gothic" w:eastAsia="Times New Roman" w:hAnsi="Century Gothic" w:cs="Calibri"/>
                <w:color w:val="000000"/>
                <w:sz w:val="17"/>
                <w:szCs w:val="17"/>
                <w:lang w:val="en-US"/>
              </w:rPr>
              <w:t>Propuesta</w:t>
            </w:r>
            <w:proofErr w:type="spellEnd"/>
            <w:r w:rsidRPr="00D90F01">
              <w:rPr>
                <w:rFonts w:ascii="Century Gothic" w:eastAsia="Times New Roman" w:hAnsi="Century Gothic" w:cs="Calibri"/>
                <w:color w:val="000000"/>
                <w:sz w:val="17"/>
                <w:szCs w:val="17"/>
                <w:lang w:val="en-US"/>
              </w:rPr>
              <w:t xml:space="preserve"> interna</w:t>
            </w:r>
          </w:p>
        </w:tc>
        <w:tc>
          <w:tcPr>
            <w:tcW w:w="851" w:type="dxa"/>
            <w:tcBorders>
              <w:top w:val="nil"/>
              <w:left w:val="nil"/>
              <w:bottom w:val="single" w:sz="8" w:space="0" w:color="BFBFBF"/>
              <w:right w:val="single" w:sz="8" w:space="0" w:color="BFBFBF"/>
            </w:tcBorders>
            <w:shd w:val="clear" w:color="000000" w:fill="DEEAF6"/>
            <w:noWrap/>
            <w:vAlign w:val="center"/>
            <w:hideMark/>
          </w:tcPr>
          <w:p w14:paraId="3BE22C9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0.500</w:t>
            </w:r>
          </w:p>
        </w:tc>
      </w:tr>
      <w:tr w:rsidR="00D90F01" w:rsidRPr="00D90F01" w14:paraId="404401D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1707D6D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DEEAF6"/>
            <w:vAlign w:val="center"/>
            <w:hideMark/>
          </w:tcPr>
          <w:p w14:paraId="22C8DCE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 Satélite del Sector Salud de México.</w:t>
            </w:r>
          </w:p>
        </w:tc>
        <w:tc>
          <w:tcPr>
            <w:tcW w:w="1701" w:type="dxa"/>
            <w:tcBorders>
              <w:top w:val="nil"/>
              <w:left w:val="nil"/>
              <w:bottom w:val="single" w:sz="8" w:space="0" w:color="BFBFBF"/>
              <w:right w:val="single" w:sz="8" w:space="0" w:color="BFBFBF"/>
            </w:tcBorders>
            <w:shd w:val="clear" w:color="000000" w:fill="DEEAF6"/>
            <w:noWrap/>
            <w:vAlign w:val="center"/>
            <w:hideMark/>
          </w:tcPr>
          <w:p w14:paraId="0ECE6C1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2016A69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346</w:t>
            </w:r>
          </w:p>
        </w:tc>
        <w:tc>
          <w:tcPr>
            <w:tcW w:w="1276" w:type="dxa"/>
            <w:tcBorders>
              <w:top w:val="nil"/>
              <w:left w:val="nil"/>
              <w:bottom w:val="single" w:sz="8" w:space="0" w:color="BFBFBF"/>
              <w:right w:val="single" w:sz="8" w:space="0" w:color="BFBFBF"/>
            </w:tcBorders>
            <w:shd w:val="clear" w:color="000000" w:fill="DEEAF6"/>
            <w:noWrap/>
            <w:vAlign w:val="center"/>
            <w:hideMark/>
          </w:tcPr>
          <w:p w14:paraId="2001098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719</w:t>
            </w:r>
          </w:p>
        </w:tc>
        <w:tc>
          <w:tcPr>
            <w:tcW w:w="1959" w:type="dxa"/>
            <w:tcBorders>
              <w:top w:val="nil"/>
              <w:left w:val="nil"/>
              <w:bottom w:val="single" w:sz="8" w:space="0" w:color="BFBFBF"/>
              <w:right w:val="single" w:sz="8" w:space="0" w:color="BFBFBF"/>
            </w:tcBorders>
            <w:shd w:val="clear" w:color="000000" w:fill="DEEAF6"/>
            <w:vAlign w:val="center"/>
            <w:hideMark/>
          </w:tcPr>
          <w:p w14:paraId="62D8503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noWrap/>
            <w:vAlign w:val="center"/>
            <w:hideMark/>
          </w:tcPr>
          <w:p w14:paraId="1F8B5B8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0.519</w:t>
            </w:r>
          </w:p>
        </w:tc>
      </w:tr>
      <w:tr w:rsidR="00D90F01" w:rsidRPr="00D90F01" w14:paraId="4639897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0C06A7B7"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DEEAF6"/>
            <w:vAlign w:val="center"/>
            <w:hideMark/>
          </w:tcPr>
          <w:p w14:paraId="765CC376"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Producto Interno Bruto por Entidad Federativa</w:t>
            </w:r>
          </w:p>
        </w:tc>
        <w:tc>
          <w:tcPr>
            <w:tcW w:w="1701" w:type="dxa"/>
            <w:tcBorders>
              <w:top w:val="nil"/>
              <w:left w:val="nil"/>
              <w:bottom w:val="single" w:sz="8" w:space="0" w:color="BFBFBF"/>
              <w:right w:val="single" w:sz="8" w:space="0" w:color="BFBFBF"/>
            </w:tcBorders>
            <w:shd w:val="clear" w:color="000000" w:fill="DEEAF6"/>
            <w:noWrap/>
            <w:vAlign w:val="center"/>
            <w:hideMark/>
          </w:tcPr>
          <w:p w14:paraId="5FC3779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68D06B5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343</w:t>
            </w:r>
          </w:p>
        </w:tc>
        <w:tc>
          <w:tcPr>
            <w:tcW w:w="1276" w:type="dxa"/>
            <w:tcBorders>
              <w:top w:val="nil"/>
              <w:left w:val="nil"/>
              <w:bottom w:val="single" w:sz="8" w:space="0" w:color="BFBFBF"/>
              <w:right w:val="single" w:sz="8" w:space="0" w:color="BFBFBF"/>
            </w:tcBorders>
            <w:shd w:val="clear" w:color="000000" w:fill="DEEAF6"/>
            <w:noWrap/>
            <w:vAlign w:val="center"/>
            <w:hideMark/>
          </w:tcPr>
          <w:p w14:paraId="1EB205D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730</w:t>
            </w:r>
          </w:p>
        </w:tc>
        <w:tc>
          <w:tcPr>
            <w:tcW w:w="1959" w:type="dxa"/>
            <w:tcBorders>
              <w:top w:val="nil"/>
              <w:left w:val="nil"/>
              <w:bottom w:val="single" w:sz="8" w:space="0" w:color="BFBFBF"/>
              <w:right w:val="single" w:sz="8" w:space="0" w:color="BFBFBF"/>
            </w:tcBorders>
            <w:shd w:val="clear" w:color="000000" w:fill="DEEAF6"/>
            <w:vAlign w:val="center"/>
            <w:hideMark/>
          </w:tcPr>
          <w:p w14:paraId="2E97469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DEEAF6"/>
            <w:noWrap/>
            <w:vAlign w:val="center"/>
            <w:hideMark/>
          </w:tcPr>
          <w:p w14:paraId="7C7C439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0.530</w:t>
            </w:r>
          </w:p>
        </w:tc>
      </w:tr>
      <w:tr w:rsidR="00D90F01" w:rsidRPr="00D90F01" w14:paraId="637BECE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285B6815"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Nacional de Precios Consumidor</w:t>
            </w:r>
          </w:p>
        </w:tc>
        <w:tc>
          <w:tcPr>
            <w:tcW w:w="3544" w:type="dxa"/>
            <w:tcBorders>
              <w:top w:val="nil"/>
              <w:left w:val="nil"/>
              <w:bottom w:val="single" w:sz="8" w:space="0" w:color="BFBFBF"/>
              <w:right w:val="single" w:sz="8" w:space="0" w:color="BFBFBF"/>
            </w:tcBorders>
            <w:shd w:val="clear" w:color="000000" w:fill="FFFFFF"/>
            <w:vAlign w:val="center"/>
            <w:hideMark/>
          </w:tcPr>
          <w:p w14:paraId="55B4BCE7"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Nacional de Precios al Consumidor, 1ª quincena</w:t>
            </w:r>
          </w:p>
        </w:tc>
        <w:tc>
          <w:tcPr>
            <w:tcW w:w="1701" w:type="dxa"/>
            <w:tcBorders>
              <w:top w:val="nil"/>
              <w:left w:val="nil"/>
              <w:bottom w:val="single" w:sz="8" w:space="0" w:color="BFBFBF"/>
              <w:right w:val="single" w:sz="8" w:space="0" w:color="BFBFBF"/>
            </w:tcBorders>
            <w:shd w:val="clear" w:color="000000" w:fill="FFFFFF"/>
            <w:noWrap/>
            <w:vAlign w:val="center"/>
            <w:hideMark/>
          </w:tcPr>
          <w:p w14:paraId="11BFCA8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05C86F8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8</w:t>
            </w:r>
          </w:p>
        </w:tc>
        <w:tc>
          <w:tcPr>
            <w:tcW w:w="1276" w:type="dxa"/>
            <w:tcBorders>
              <w:top w:val="nil"/>
              <w:left w:val="nil"/>
              <w:bottom w:val="single" w:sz="8" w:space="0" w:color="BFBFBF"/>
              <w:right w:val="single" w:sz="8" w:space="0" w:color="BFBFBF"/>
            </w:tcBorders>
            <w:shd w:val="clear" w:color="000000" w:fill="FFFFFF"/>
            <w:noWrap/>
            <w:vAlign w:val="center"/>
            <w:hideMark/>
          </w:tcPr>
          <w:p w14:paraId="756AB45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20</w:t>
            </w:r>
          </w:p>
        </w:tc>
        <w:tc>
          <w:tcPr>
            <w:tcW w:w="1959" w:type="dxa"/>
            <w:tcBorders>
              <w:top w:val="nil"/>
              <w:left w:val="nil"/>
              <w:bottom w:val="single" w:sz="8" w:space="0" w:color="BFBFBF"/>
              <w:right w:val="single" w:sz="8" w:space="0" w:color="BFBFBF"/>
            </w:tcBorders>
            <w:shd w:val="clear" w:color="000000" w:fill="FFFFFF"/>
            <w:vAlign w:val="center"/>
            <w:hideMark/>
          </w:tcPr>
          <w:p w14:paraId="1995D0A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P - </w:t>
            </w:r>
            <w:proofErr w:type="spellStart"/>
            <w:r w:rsidRPr="00D90F01">
              <w:rPr>
                <w:rFonts w:ascii="Century Gothic" w:eastAsia="Times New Roman" w:hAnsi="Century Gothic" w:cs="Calibri"/>
                <w:color w:val="000000"/>
                <w:sz w:val="17"/>
                <w:szCs w:val="17"/>
                <w:lang w:val="en-US"/>
              </w:rPr>
              <w:t>Política</w:t>
            </w:r>
            <w:proofErr w:type="spellEnd"/>
            <w:r w:rsidRPr="00D90F01">
              <w:rPr>
                <w:rFonts w:ascii="Century Gothic" w:eastAsia="Times New Roman" w:hAnsi="Century Gothic" w:cs="Calibri"/>
                <w:color w:val="000000"/>
                <w:sz w:val="17"/>
                <w:szCs w:val="17"/>
                <w:lang w:val="en-US"/>
              </w:rPr>
              <w:t>/</w:t>
            </w:r>
            <w:proofErr w:type="spellStart"/>
            <w:r w:rsidRPr="00D90F01">
              <w:rPr>
                <w:rFonts w:ascii="Century Gothic" w:eastAsia="Times New Roman" w:hAnsi="Century Gothic" w:cs="Calibri"/>
                <w:color w:val="000000"/>
                <w:sz w:val="17"/>
                <w:szCs w:val="17"/>
                <w:lang w:val="en-US"/>
              </w:rPr>
              <w:t>Regulación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nacional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2371E57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0.600</w:t>
            </w:r>
          </w:p>
        </w:tc>
      </w:tr>
      <w:tr w:rsidR="00D90F01" w:rsidRPr="00D90F01" w14:paraId="1F5801D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243D27E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Sacrificio de Ganado en Rastros Municipales</w:t>
            </w:r>
          </w:p>
        </w:tc>
        <w:tc>
          <w:tcPr>
            <w:tcW w:w="3544" w:type="dxa"/>
            <w:tcBorders>
              <w:top w:val="nil"/>
              <w:left w:val="nil"/>
              <w:bottom w:val="single" w:sz="8" w:space="0" w:color="BFBFBF"/>
              <w:right w:val="single" w:sz="8" w:space="0" w:color="BFBFBF"/>
            </w:tcBorders>
            <w:shd w:val="clear" w:color="000000" w:fill="FFFFFF"/>
            <w:vAlign w:val="center"/>
            <w:hideMark/>
          </w:tcPr>
          <w:p w14:paraId="592F85C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Sacrificio de Ganado en Rastros Municipales (ESGRM) (MENSUAL)</w:t>
            </w:r>
          </w:p>
        </w:tc>
        <w:tc>
          <w:tcPr>
            <w:tcW w:w="1701" w:type="dxa"/>
            <w:tcBorders>
              <w:top w:val="nil"/>
              <w:left w:val="nil"/>
              <w:bottom w:val="single" w:sz="8" w:space="0" w:color="BFBFBF"/>
              <w:right w:val="single" w:sz="8" w:space="0" w:color="BFBFBF"/>
            </w:tcBorders>
            <w:shd w:val="clear" w:color="000000" w:fill="FFFFFF"/>
            <w:noWrap/>
            <w:vAlign w:val="center"/>
            <w:hideMark/>
          </w:tcPr>
          <w:p w14:paraId="0F2D09F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4DE4830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60</w:t>
            </w:r>
          </w:p>
        </w:tc>
        <w:tc>
          <w:tcPr>
            <w:tcW w:w="1276" w:type="dxa"/>
            <w:tcBorders>
              <w:top w:val="nil"/>
              <w:left w:val="nil"/>
              <w:bottom w:val="single" w:sz="8" w:space="0" w:color="BFBFBF"/>
              <w:right w:val="single" w:sz="8" w:space="0" w:color="BFBFBF"/>
            </w:tcBorders>
            <w:shd w:val="clear" w:color="000000" w:fill="FFFFFF"/>
            <w:noWrap/>
            <w:vAlign w:val="center"/>
            <w:hideMark/>
          </w:tcPr>
          <w:p w14:paraId="5282864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180</w:t>
            </w:r>
          </w:p>
        </w:tc>
        <w:tc>
          <w:tcPr>
            <w:tcW w:w="1959" w:type="dxa"/>
            <w:tcBorders>
              <w:top w:val="nil"/>
              <w:left w:val="nil"/>
              <w:bottom w:val="single" w:sz="8" w:space="0" w:color="BFBFBF"/>
              <w:right w:val="single" w:sz="8" w:space="0" w:color="BFBFBF"/>
            </w:tcBorders>
            <w:shd w:val="clear" w:color="000000" w:fill="FFFFFF"/>
            <w:vAlign w:val="center"/>
            <w:hideMark/>
          </w:tcPr>
          <w:p w14:paraId="7465D4C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noWrap/>
            <w:vAlign w:val="center"/>
            <w:hideMark/>
          </w:tcPr>
          <w:p w14:paraId="01A12D6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0.667</w:t>
            </w:r>
          </w:p>
        </w:tc>
      </w:tr>
      <w:tr w:rsidR="00D90F01" w:rsidRPr="00D90F01" w14:paraId="00D8E8BB"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E4C6AA2"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Nacional de Precios Productor</w:t>
            </w:r>
          </w:p>
        </w:tc>
        <w:tc>
          <w:tcPr>
            <w:tcW w:w="3544" w:type="dxa"/>
            <w:tcBorders>
              <w:top w:val="nil"/>
              <w:left w:val="nil"/>
              <w:bottom w:val="single" w:sz="8" w:space="0" w:color="BFBFBF"/>
              <w:right w:val="single" w:sz="8" w:space="0" w:color="BFBFBF"/>
            </w:tcBorders>
            <w:shd w:val="clear" w:color="000000" w:fill="FFFFFF"/>
            <w:vAlign w:val="center"/>
            <w:hideMark/>
          </w:tcPr>
          <w:p w14:paraId="24A384A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Nacional de Precios Productor</w:t>
            </w:r>
          </w:p>
        </w:tc>
        <w:tc>
          <w:tcPr>
            <w:tcW w:w="1701" w:type="dxa"/>
            <w:tcBorders>
              <w:top w:val="nil"/>
              <w:left w:val="nil"/>
              <w:bottom w:val="single" w:sz="8" w:space="0" w:color="BFBFBF"/>
              <w:right w:val="single" w:sz="8" w:space="0" w:color="BFBFBF"/>
            </w:tcBorders>
            <w:shd w:val="clear" w:color="000000" w:fill="FFFFFF"/>
            <w:noWrap/>
            <w:vAlign w:val="center"/>
            <w:hideMark/>
          </w:tcPr>
          <w:p w14:paraId="3025F5C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3B524DA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8.3</w:t>
            </w:r>
          </w:p>
        </w:tc>
        <w:tc>
          <w:tcPr>
            <w:tcW w:w="1276" w:type="dxa"/>
            <w:tcBorders>
              <w:top w:val="nil"/>
              <w:left w:val="nil"/>
              <w:bottom w:val="single" w:sz="8" w:space="0" w:color="BFBFBF"/>
              <w:right w:val="single" w:sz="8" w:space="0" w:color="BFBFBF"/>
            </w:tcBorders>
            <w:shd w:val="clear" w:color="000000" w:fill="FFFFFF"/>
            <w:vAlign w:val="center"/>
            <w:hideMark/>
          </w:tcPr>
          <w:p w14:paraId="5F7937D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w:t>
            </w:r>
          </w:p>
        </w:tc>
        <w:tc>
          <w:tcPr>
            <w:tcW w:w="1959" w:type="dxa"/>
            <w:tcBorders>
              <w:top w:val="nil"/>
              <w:left w:val="nil"/>
              <w:bottom w:val="single" w:sz="8" w:space="0" w:color="BFBFBF"/>
              <w:right w:val="single" w:sz="8" w:space="0" w:color="BFBFBF"/>
            </w:tcBorders>
            <w:shd w:val="clear" w:color="000000" w:fill="FFFFFF"/>
            <w:vAlign w:val="center"/>
            <w:hideMark/>
          </w:tcPr>
          <w:p w14:paraId="486068E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L - </w:t>
            </w:r>
            <w:proofErr w:type="spellStart"/>
            <w:r w:rsidRPr="00D90F01">
              <w:rPr>
                <w:rFonts w:ascii="Century Gothic" w:eastAsia="Times New Roman" w:hAnsi="Century Gothic" w:cs="Calibri"/>
                <w:color w:val="000000"/>
                <w:sz w:val="17"/>
                <w:szCs w:val="17"/>
                <w:lang w:val="en-US"/>
              </w:rPr>
              <w:t>Lineamiento</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institucional</w:t>
            </w:r>
            <w:proofErr w:type="spellEnd"/>
          </w:p>
        </w:tc>
        <w:tc>
          <w:tcPr>
            <w:tcW w:w="851" w:type="dxa"/>
            <w:tcBorders>
              <w:top w:val="nil"/>
              <w:left w:val="nil"/>
              <w:bottom w:val="single" w:sz="8" w:space="0" w:color="BFBFBF"/>
              <w:right w:val="single" w:sz="8" w:space="0" w:color="BFBFBF"/>
            </w:tcBorders>
            <w:shd w:val="clear" w:color="000000" w:fill="FFFFFF"/>
            <w:vAlign w:val="center"/>
            <w:hideMark/>
          </w:tcPr>
          <w:p w14:paraId="35A472E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0.723</w:t>
            </w:r>
          </w:p>
        </w:tc>
      </w:tr>
      <w:tr w:rsidR="00D90F01" w:rsidRPr="00D90F01" w14:paraId="35BF747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1C64F52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Balanza Comercial de Mercancías de México</w:t>
            </w:r>
          </w:p>
        </w:tc>
        <w:tc>
          <w:tcPr>
            <w:tcW w:w="3544" w:type="dxa"/>
            <w:tcBorders>
              <w:top w:val="nil"/>
              <w:left w:val="nil"/>
              <w:bottom w:val="single" w:sz="8" w:space="0" w:color="BFBFBF"/>
              <w:right w:val="single" w:sz="8" w:space="0" w:color="BFBFBF"/>
            </w:tcBorders>
            <w:shd w:val="clear" w:color="000000" w:fill="FFFFFF"/>
            <w:vAlign w:val="center"/>
            <w:hideMark/>
          </w:tcPr>
          <w:p w14:paraId="681C8006"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Exportaciones</w:t>
            </w:r>
            <w:proofErr w:type="spellEnd"/>
            <w:r w:rsidRPr="00D90F01">
              <w:rPr>
                <w:rFonts w:ascii="Century Gothic" w:eastAsia="Times New Roman" w:hAnsi="Century Gothic" w:cs="Calibri"/>
                <w:color w:val="000000"/>
                <w:sz w:val="17"/>
                <w:szCs w:val="17"/>
                <w:lang w:val="en-US"/>
              </w:rPr>
              <w:t xml:space="preserve"> por </w:t>
            </w:r>
            <w:proofErr w:type="spellStart"/>
            <w:r w:rsidRPr="00D90F01">
              <w:rPr>
                <w:rFonts w:ascii="Century Gothic" w:eastAsia="Times New Roman" w:hAnsi="Century Gothic" w:cs="Calibri"/>
                <w:color w:val="000000"/>
                <w:sz w:val="17"/>
                <w:szCs w:val="17"/>
                <w:lang w:val="en-US"/>
              </w:rPr>
              <w:t>Entidad</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Federativa</w:t>
            </w:r>
            <w:proofErr w:type="spellEnd"/>
          </w:p>
        </w:tc>
        <w:tc>
          <w:tcPr>
            <w:tcW w:w="1701" w:type="dxa"/>
            <w:tcBorders>
              <w:top w:val="nil"/>
              <w:left w:val="nil"/>
              <w:bottom w:val="single" w:sz="8" w:space="0" w:color="BFBFBF"/>
              <w:right w:val="single" w:sz="8" w:space="0" w:color="BFBFBF"/>
            </w:tcBorders>
            <w:shd w:val="clear" w:color="000000" w:fill="FFFFFF"/>
            <w:vAlign w:val="center"/>
            <w:hideMark/>
          </w:tcPr>
          <w:p w14:paraId="286862C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Anual</w:t>
            </w:r>
            <w:proofErr w:type="spellEnd"/>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FFFFFF"/>
            <w:vAlign w:val="center"/>
            <w:hideMark/>
          </w:tcPr>
          <w:p w14:paraId="47A1259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91.5</w:t>
            </w:r>
          </w:p>
        </w:tc>
        <w:tc>
          <w:tcPr>
            <w:tcW w:w="1276" w:type="dxa"/>
            <w:tcBorders>
              <w:top w:val="nil"/>
              <w:left w:val="nil"/>
              <w:bottom w:val="single" w:sz="8" w:space="0" w:color="BFBFBF"/>
              <w:right w:val="single" w:sz="8" w:space="0" w:color="BFBFBF"/>
            </w:tcBorders>
            <w:shd w:val="clear" w:color="000000" w:fill="FFFFFF"/>
            <w:vAlign w:val="center"/>
            <w:hideMark/>
          </w:tcPr>
          <w:p w14:paraId="0C2BAA1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959" w:type="dxa"/>
            <w:tcBorders>
              <w:top w:val="nil"/>
              <w:left w:val="nil"/>
              <w:bottom w:val="single" w:sz="8" w:space="0" w:color="BFBFBF"/>
              <w:right w:val="single" w:sz="8" w:space="0" w:color="BFBFBF"/>
            </w:tcBorders>
            <w:shd w:val="clear" w:color="000000" w:fill="FFFFFF"/>
            <w:vAlign w:val="center"/>
            <w:hideMark/>
          </w:tcPr>
          <w:p w14:paraId="0227CEA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vAlign w:val="center"/>
            <w:hideMark/>
          </w:tcPr>
          <w:p w14:paraId="4C2EAD6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0.739</w:t>
            </w:r>
          </w:p>
        </w:tc>
      </w:tr>
      <w:tr w:rsidR="00D90F01" w:rsidRPr="00D90F01" w14:paraId="50FA178B"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CE378C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Vehículos de Motor Registrados en Circulación</w:t>
            </w:r>
          </w:p>
        </w:tc>
        <w:tc>
          <w:tcPr>
            <w:tcW w:w="3544" w:type="dxa"/>
            <w:tcBorders>
              <w:top w:val="nil"/>
              <w:left w:val="nil"/>
              <w:bottom w:val="single" w:sz="8" w:space="0" w:color="BFBFBF"/>
              <w:right w:val="single" w:sz="8" w:space="0" w:color="BFBFBF"/>
            </w:tcBorders>
            <w:shd w:val="clear" w:color="000000" w:fill="FFFFFF"/>
            <w:vAlign w:val="center"/>
            <w:hideMark/>
          </w:tcPr>
          <w:p w14:paraId="0D9D670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Vehículos de Motor Registrados en Circulación</w:t>
            </w:r>
          </w:p>
        </w:tc>
        <w:tc>
          <w:tcPr>
            <w:tcW w:w="1701" w:type="dxa"/>
            <w:tcBorders>
              <w:top w:val="nil"/>
              <w:left w:val="nil"/>
              <w:bottom w:val="single" w:sz="8" w:space="0" w:color="BFBFBF"/>
              <w:right w:val="single" w:sz="8" w:space="0" w:color="BFBFBF"/>
            </w:tcBorders>
            <w:shd w:val="clear" w:color="000000" w:fill="FFFFFF"/>
            <w:noWrap/>
            <w:vAlign w:val="center"/>
            <w:hideMark/>
          </w:tcPr>
          <w:p w14:paraId="6A8721C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FFFFFF"/>
            <w:vAlign w:val="center"/>
            <w:hideMark/>
          </w:tcPr>
          <w:p w14:paraId="5D26E69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28</w:t>
            </w:r>
          </w:p>
        </w:tc>
        <w:tc>
          <w:tcPr>
            <w:tcW w:w="1276" w:type="dxa"/>
            <w:tcBorders>
              <w:top w:val="nil"/>
              <w:left w:val="nil"/>
              <w:bottom w:val="single" w:sz="8" w:space="0" w:color="BFBFBF"/>
              <w:right w:val="single" w:sz="8" w:space="0" w:color="BFBFBF"/>
            </w:tcBorders>
            <w:shd w:val="clear" w:color="000000" w:fill="FFFFFF"/>
            <w:noWrap/>
            <w:vAlign w:val="center"/>
            <w:hideMark/>
          </w:tcPr>
          <w:p w14:paraId="386A1EC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180</w:t>
            </w:r>
          </w:p>
        </w:tc>
        <w:tc>
          <w:tcPr>
            <w:tcW w:w="1959" w:type="dxa"/>
            <w:tcBorders>
              <w:top w:val="nil"/>
              <w:left w:val="nil"/>
              <w:bottom w:val="single" w:sz="8" w:space="0" w:color="BFBFBF"/>
              <w:right w:val="single" w:sz="8" w:space="0" w:color="BFBFBF"/>
            </w:tcBorders>
            <w:shd w:val="clear" w:color="000000" w:fill="FFFFFF"/>
            <w:vAlign w:val="center"/>
            <w:hideMark/>
          </w:tcPr>
          <w:p w14:paraId="5A2AA66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xml:space="preserve">R - </w:t>
            </w:r>
            <w:proofErr w:type="spellStart"/>
            <w:r w:rsidRPr="00D90F01">
              <w:rPr>
                <w:rFonts w:ascii="Century Gothic" w:eastAsia="Times New Roman" w:hAnsi="Century Gothic" w:cs="Calibri"/>
                <w:color w:val="000000"/>
                <w:sz w:val="17"/>
                <w:szCs w:val="17"/>
                <w:lang w:val="en-US"/>
              </w:rPr>
              <w:t>Recomendación</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internacional</w:t>
            </w:r>
            <w:proofErr w:type="spellEnd"/>
          </w:p>
        </w:tc>
        <w:tc>
          <w:tcPr>
            <w:tcW w:w="851" w:type="dxa"/>
            <w:tcBorders>
              <w:top w:val="nil"/>
              <w:left w:val="nil"/>
              <w:bottom w:val="single" w:sz="8" w:space="0" w:color="BFBFBF"/>
              <w:right w:val="single" w:sz="8" w:space="0" w:color="BFBFBF"/>
            </w:tcBorders>
            <w:shd w:val="clear" w:color="000000" w:fill="FFFFFF"/>
            <w:noWrap/>
            <w:vAlign w:val="center"/>
            <w:hideMark/>
          </w:tcPr>
          <w:p w14:paraId="313ECAE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0.844</w:t>
            </w:r>
          </w:p>
        </w:tc>
      </w:tr>
      <w:tr w:rsidR="00D90F01" w:rsidRPr="00D90F01" w14:paraId="0964B37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2566085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industrias manufactureras. Encuesta Mensual de la Industria Manufacturera</w:t>
            </w:r>
          </w:p>
        </w:tc>
        <w:tc>
          <w:tcPr>
            <w:tcW w:w="3544" w:type="dxa"/>
            <w:tcBorders>
              <w:top w:val="nil"/>
              <w:left w:val="nil"/>
              <w:bottom w:val="single" w:sz="8" w:space="0" w:color="BFBFBF"/>
              <w:right w:val="single" w:sz="8" w:space="0" w:color="BFBFBF"/>
            </w:tcBorders>
            <w:shd w:val="clear" w:color="000000" w:fill="DEEAF6"/>
            <w:vAlign w:val="center"/>
            <w:hideMark/>
          </w:tcPr>
          <w:p w14:paraId="565B9B98"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Indicador</w:t>
            </w:r>
            <w:proofErr w:type="spellEnd"/>
            <w:r w:rsidRPr="00D90F01">
              <w:rPr>
                <w:rFonts w:ascii="Century Gothic" w:eastAsia="Times New Roman" w:hAnsi="Century Gothic" w:cs="Calibri"/>
                <w:color w:val="000000"/>
                <w:sz w:val="17"/>
                <w:szCs w:val="17"/>
                <w:lang w:val="en-US"/>
              </w:rPr>
              <w:t xml:space="preserve"> de </w:t>
            </w:r>
            <w:proofErr w:type="spellStart"/>
            <w:r w:rsidRPr="00D90F01">
              <w:rPr>
                <w:rFonts w:ascii="Century Gothic" w:eastAsia="Times New Roman" w:hAnsi="Century Gothic" w:cs="Calibri"/>
                <w:color w:val="000000"/>
                <w:sz w:val="17"/>
                <w:szCs w:val="17"/>
                <w:lang w:val="en-US"/>
              </w:rPr>
              <w:t>Pedidos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Manufactureros</w:t>
            </w:r>
            <w:proofErr w:type="spellEnd"/>
          </w:p>
        </w:tc>
        <w:tc>
          <w:tcPr>
            <w:tcW w:w="1701" w:type="dxa"/>
            <w:tcBorders>
              <w:top w:val="nil"/>
              <w:left w:val="nil"/>
              <w:bottom w:val="single" w:sz="8" w:space="0" w:color="BFBFBF"/>
              <w:right w:val="single" w:sz="8" w:space="0" w:color="BFBFBF"/>
            </w:tcBorders>
            <w:shd w:val="clear" w:color="000000" w:fill="DEEAF6"/>
            <w:noWrap/>
            <w:vAlign w:val="center"/>
            <w:hideMark/>
          </w:tcPr>
          <w:p w14:paraId="136CFED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577887A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2.08</w:t>
            </w:r>
          </w:p>
        </w:tc>
        <w:tc>
          <w:tcPr>
            <w:tcW w:w="1276" w:type="dxa"/>
            <w:tcBorders>
              <w:top w:val="nil"/>
              <w:left w:val="nil"/>
              <w:bottom w:val="single" w:sz="8" w:space="0" w:color="BFBFBF"/>
              <w:right w:val="single" w:sz="8" w:space="0" w:color="BFBFBF"/>
            </w:tcBorders>
            <w:shd w:val="clear" w:color="000000" w:fill="DEEAF6"/>
            <w:noWrap/>
            <w:vAlign w:val="center"/>
            <w:hideMark/>
          </w:tcPr>
          <w:p w14:paraId="45F8981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28</w:t>
            </w:r>
          </w:p>
        </w:tc>
        <w:tc>
          <w:tcPr>
            <w:tcW w:w="1959" w:type="dxa"/>
            <w:tcBorders>
              <w:top w:val="nil"/>
              <w:left w:val="nil"/>
              <w:bottom w:val="single" w:sz="8" w:space="0" w:color="BFBFBF"/>
              <w:right w:val="single" w:sz="8" w:space="0" w:color="BFBFBF"/>
            </w:tcBorders>
            <w:shd w:val="clear" w:color="000000" w:fill="DEEAF6"/>
            <w:vAlign w:val="center"/>
            <w:hideMark/>
          </w:tcPr>
          <w:p w14:paraId="6CF05BD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noWrap/>
            <w:vAlign w:val="center"/>
            <w:hideMark/>
          </w:tcPr>
          <w:p w14:paraId="5C000FA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0.926</w:t>
            </w:r>
          </w:p>
        </w:tc>
      </w:tr>
      <w:tr w:rsidR="00D90F01" w:rsidRPr="00D90F01" w14:paraId="1CB4DC01"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77458823"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opinión empresarial. Encuesta Mensual de Opinión Empresarial</w:t>
            </w:r>
          </w:p>
        </w:tc>
        <w:tc>
          <w:tcPr>
            <w:tcW w:w="3544" w:type="dxa"/>
            <w:tcBorders>
              <w:top w:val="nil"/>
              <w:left w:val="nil"/>
              <w:bottom w:val="single" w:sz="8" w:space="0" w:color="BFBFBF"/>
              <w:right w:val="single" w:sz="8" w:space="0" w:color="BFBFBF"/>
            </w:tcBorders>
            <w:shd w:val="clear" w:color="000000" w:fill="DEEAF6"/>
            <w:vAlign w:val="center"/>
            <w:hideMark/>
          </w:tcPr>
          <w:p w14:paraId="4184917D"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Indicadores</w:t>
            </w:r>
            <w:proofErr w:type="spellEnd"/>
            <w:r w:rsidRPr="00D90F01">
              <w:rPr>
                <w:rFonts w:ascii="Century Gothic" w:eastAsia="Times New Roman" w:hAnsi="Century Gothic" w:cs="Calibri"/>
                <w:color w:val="000000"/>
                <w:sz w:val="17"/>
                <w:szCs w:val="17"/>
                <w:lang w:val="en-US"/>
              </w:rPr>
              <w:t xml:space="preserve"> de </w:t>
            </w:r>
            <w:proofErr w:type="spellStart"/>
            <w:r w:rsidRPr="00D90F01">
              <w:rPr>
                <w:rFonts w:ascii="Century Gothic" w:eastAsia="Times New Roman" w:hAnsi="Century Gothic" w:cs="Calibri"/>
                <w:color w:val="000000"/>
                <w:sz w:val="17"/>
                <w:szCs w:val="17"/>
                <w:lang w:val="en-US"/>
              </w:rPr>
              <w:t>Expectativas</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Empresariales</w:t>
            </w:r>
            <w:proofErr w:type="spellEnd"/>
          </w:p>
        </w:tc>
        <w:tc>
          <w:tcPr>
            <w:tcW w:w="1701" w:type="dxa"/>
            <w:tcBorders>
              <w:top w:val="nil"/>
              <w:left w:val="nil"/>
              <w:bottom w:val="single" w:sz="8" w:space="0" w:color="BFBFBF"/>
              <w:right w:val="single" w:sz="8" w:space="0" w:color="BFBFBF"/>
            </w:tcBorders>
            <w:shd w:val="clear" w:color="000000" w:fill="DEEAF6"/>
            <w:noWrap/>
            <w:vAlign w:val="center"/>
            <w:hideMark/>
          </w:tcPr>
          <w:p w14:paraId="15CE3C1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23E4AD8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2.08</w:t>
            </w:r>
          </w:p>
        </w:tc>
        <w:tc>
          <w:tcPr>
            <w:tcW w:w="1276" w:type="dxa"/>
            <w:tcBorders>
              <w:top w:val="nil"/>
              <w:left w:val="nil"/>
              <w:bottom w:val="single" w:sz="8" w:space="0" w:color="BFBFBF"/>
              <w:right w:val="single" w:sz="8" w:space="0" w:color="BFBFBF"/>
            </w:tcBorders>
            <w:shd w:val="clear" w:color="000000" w:fill="DEEAF6"/>
            <w:noWrap/>
            <w:vAlign w:val="center"/>
            <w:hideMark/>
          </w:tcPr>
          <w:p w14:paraId="16E1E61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28</w:t>
            </w:r>
          </w:p>
        </w:tc>
        <w:tc>
          <w:tcPr>
            <w:tcW w:w="1959" w:type="dxa"/>
            <w:tcBorders>
              <w:top w:val="nil"/>
              <w:left w:val="nil"/>
              <w:bottom w:val="single" w:sz="8" w:space="0" w:color="BFBFBF"/>
              <w:right w:val="single" w:sz="8" w:space="0" w:color="BFBFBF"/>
            </w:tcBorders>
            <w:shd w:val="clear" w:color="000000" w:fill="DEEAF6"/>
            <w:vAlign w:val="center"/>
            <w:hideMark/>
          </w:tcPr>
          <w:p w14:paraId="7344D63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noWrap/>
            <w:vAlign w:val="center"/>
            <w:hideMark/>
          </w:tcPr>
          <w:p w14:paraId="32DB28B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0.926</w:t>
            </w:r>
          </w:p>
        </w:tc>
      </w:tr>
      <w:tr w:rsidR="00D90F01" w:rsidRPr="00D90F01" w14:paraId="4569B7D1"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168D3B3"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opinión empresarial. Encuesta Mensual de Opinión Empresarial</w:t>
            </w:r>
          </w:p>
        </w:tc>
        <w:tc>
          <w:tcPr>
            <w:tcW w:w="3544" w:type="dxa"/>
            <w:tcBorders>
              <w:top w:val="nil"/>
              <w:left w:val="nil"/>
              <w:bottom w:val="single" w:sz="8" w:space="0" w:color="BFBFBF"/>
              <w:right w:val="single" w:sz="8" w:space="0" w:color="BFBFBF"/>
            </w:tcBorders>
            <w:shd w:val="clear" w:color="000000" w:fill="DEEAF6"/>
            <w:vAlign w:val="center"/>
            <w:hideMark/>
          </w:tcPr>
          <w:p w14:paraId="0D8E62DB"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Indicadores</w:t>
            </w:r>
            <w:proofErr w:type="spellEnd"/>
            <w:r w:rsidRPr="00D90F01">
              <w:rPr>
                <w:rFonts w:ascii="Century Gothic" w:eastAsia="Times New Roman" w:hAnsi="Century Gothic" w:cs="Calibri"/>
                <w:color w:val="000000"/>
                <w:sz w:val="17"/>
                <w:szCs w:val="17"/>
                <w:lang w:val="en-US"/>
              </w:rPr>
              <w:t xml:space="preserve"> de </w:t>
            </w:r>
            <w:proofErr w:type="spellStart"/>
            <w:r w:rsidRPr="00D90F01">
              <w:rPr>
                <w:rFonts w:ascii="Century Gothic" w:eastAsia="Times New Roman" w:hAnsi="Century Gothic" w:cs="Calibri"/>
                <w:color w:val="000000"/>
                <w:sz w:val="17"/>
                <w:szCs w:val="17"/>
                <w:lang w:val="en-US"/>
              </w:rPr>
              <w:t>Confianza</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Empresarial</w:t>
            </w:r>
            <w:proofErr w:type="spellEnd"/>
          </w:p>
        </w:tc>
        <w:tc>
          <w:tcPr>
            <w:tcW w:w="1701" w:type="dxa"/>
            <w:tcBorders>
              <w:top w:val="nil"/>
              <w:left w:val="nil"/>
              <w:bottom w:val="single" w:sz="8" w:space="0" w:color="BFBFBF"/>
              <w:right w:val="single" w:sz="8" w:space="0" w:color="BFBFBF"/>
            </w:tcBorders>
            <w:shd w:val="clear" w:color="000000" w:fill="DEEAF6"/>
            <w:noWrap/>
            <w:vAlign w:val="center"/>
            <w:hideMark/>
          </w:tcPr>
          <w:p w14:paraId="2A73237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proofErr w:type="spellStart"/>
            <w:r w:rsidRPr="00D90F01">
              <w:rPr>
                <w:rFonts w:ascii="Century Gothic" w:eastAsia="Times New Roman" w:hAnsi="Century Gothic" w:cs="Calibri"/>
                <w:color w:val="000000"/>
                <w:sz w:val="17"/>
                <w:szCs w:val="17"/>
                <w:lang w:val="en-US"/>
              </w:rPr>
              <w:t>Mensual</w:t>
            </w:r>
            <w:proofErr w:type="spellEnd"/>
          </w:p>
        </w:tc>
        <w:tc>
          <w:tcPr>
            <w:tcW w:w="1442" w:type="dxa"/>
            <w:tcBorders>
              <w:top w:val="nil"/>
              <w:left w:val="nil"/>
              <w:bottom w:val="single" w:sz="8" w:space="0" w:color="BFBFBF"/>
              <w:right w:val="single" w:sz="8" w:space="0" w:color="BFBFBF"/>
            </w:tcBorders>
            <w:shd w:val="clear" w:color="000000" w:fill="DEEAF6"/>
            <w:vAlign w:val="center"/>
            <w:hideMark/>
          </w:tcPr>
          <w:p w14:paraId="1E24065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2.08</w:t>
            </w:r>
          </w:p>
        </w:tc>
        <w:tc>
          <w:tcPr>
            <w:tcW w:w="1276" w:type="dxa"/>
            <w:tcBorders>
              <w:top w:val="nil"/>
              <w:left w:val="nil"/>
              <w:bottom w:val="single" w:sz="8" w:space="0" w:color="BFBFBF"/>
              <w:right w:val="single" w:sz="8" w:space="0" w:color="BFBFBF"/>
            </w:tcBorders>
            <w:shd w:val="clear" w:color="000000" w:fill="DEEAF6"/>
            <w:noWrap/>
            <w:vAlign w:val="center"/>
            <w:hideMark/>
          </w:tcPr>
          <w:p w14:paraId="6712F77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28</w:t>
            </w:r>
          </w:p>
        </w:tc>
        <w:tc>
          <w:tcPr>
            <w:tcW w:w="1959" w:type="dxa"/>
            <w:tcBorders>
              <w:top w:val="nil"/>
              <w:left w:val="nil"/>
              <w:bottom w:val="single" w:sz="8" w:space="0" w:color="BFBFBF"/>
              <w:right w:val="single" w:sz="8" w:space="0" w:color="BFBFBF"/>
            </w:tcBorders>
            <w:shd w:val="clear" w:color="000000" w:fill="DEEAF6"/>
            <w:vAlign w:val="center"/>
            <w:hideMark/>
          </w:tcPr>
          <w:p w14:paraId="5DAD5AB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noWrap/>
            <w:vAlign w:val="center"/>
            <w:hideMark/>
          </w:tcPr>
          <w:p w14:paraId="5E7EE6D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0.926</w:t>
            </w:r>
          </w:p>
        </w:tc>
      </w:tr>
    </w:tbl>
    <w:p w14:paraId="016B7824" w14:textId="77777777" w:rsidR="00D90F01" w:rsidRPr="00296E53" w:rsidRDefault="00D90F01" w:rsidP="00682415">
      <w:pPr>
        <w:spacing w:before="240"/>
        <w:ind w:left="360"/>
        <w:jc w:val="center"/>
        <w:rPr>
          <w:rFonts w:ascii="Century Gothic" w:hAnsi="Century Gothic"/>
          <w:b/>
          <w:sz w:val="19"/>
          <w:szCs w:val="19"/>
        </w:rPr>
      </w:pPr>
    </w:p>
    <w:p w14:paraId="020354A1" w14:textId="77777777" w:rsidR="00E15DB0" w:rsidRPr="00296E53" w:rsidRDefault="00E15DB0">
      <w:pPr>
        <w:rPr>
          <w:rFonts w:ascii="Century Gothic" w:hAnsi="Century Gothic"/>
          <w:sz w:val="19"/>
          <w:szCs w:val="19"/>
        </w:rPr>
      </w:pPr>
      <w:r w:rsidRPr="00296E53">
        <w:rPr>
          <w:rFonts w:ascii="Century Gothic" w:hAnsi="Century Gothic"/>
          <w:sz w:val="19"/>
          <w:szCs w:val="19"/>
        </w:rPr>
        <w:br w:type="page"/>
      </w:r>
    </w:p>
    <w:p w14:paraId="54D24FF2" w14:textId="77777777" w:rsidR="007758B5" w:rsidRPr="00296E53" w:rsidRDefault="007758B5" w:rsidP="007758B5">
      <w:pPr>
        <w:spacing w:after="0"/>
        <w:jc w:val="right"/>
        <w:rPr>
          <w:rFonts w:ascii="Century Gothic" w:hAnsi="Century Gothic"/>
        </w:rPr>
      </w:pPr>
      <w:r w:rsidRPr="00296E53">
        <w:rPr>
          <w:rFonts w:cstheme="minorHAnsi"/>
          <w:color w:val="0079BF"/>
          <w:sz w:val="36"/>
          <w:szCs w:val="144"/>
        </w:rPr>
        <w:t>ANEXO 3</w:t>
      </w:r>
    </w:p>
    <w:tbl>
      <w:tblPr>
        <w:tblW w:w="16307" w:type="dxa"/>
        <w:tblInd w:w="-1139" w:type="dxa"/>
        <w:tblLook w:val="04A0" w:firstRow="1" w:lastRow="0" w:firstColumn="1" w:lastColumn="0" w:noHBand="0" w:noVBand="1"/>
      </w:tblPr>
      <w:tblGrid>
        <w:gridCol w:w="7518"/>
        <w:gridCol w:w="8789"/>
      </w:tblGrid>
      <w:tr w:rsidR="007758B5" w:rsidRPr="00296E53" w14:paraId="0A23DE07" w14:textId="77777777" w:rsidTr="00365D05">
        <w:trPr>
          <w:trHeight w:val="201"/>
        </w:trPr>
        <w:tc>
          <w:tcPr>
            <w:tcW w:w="7518" w:type="dxa"/>
            <w:shd w:val="clear" w:color="auto" w:fill="1F3864" w:themeFill="accent5" w:themeFillShade="80"/>
          </w:tcPr>
          <w:p w14:paraId="2351DE3F" w14:textId="77777777" w:rsidR="007758B5" w:rsidRPr="00296E53" w:rsidRDefault="007758B5" w:rsidP="00365D05">
            <w:pPr>
              <w:rPr>
                <w:rFonts w:cstheme="minorHAnsi"/>
                <w:color w:val="FFFFFF" w:themeColor="background1"/>
                <w:sz w:val="2"/>
                <w:szCs w:val="18"/>
              </w:rPr>
            </w:pPr>
          </w:p>
        </w:tc>
        <w:tc>
          <w:tcPr>
            <w:tcW w:w="8789" w:type="dxa"/>
            <w:shd w:val="clear" w:color="auto" w:fill="auto"/>
          </w:tcPr>
          <w:p w14:paraId="16C7CD83" w14:textId="77777777" w:rsidR="007758B5" w:rsidRPr="00296E53" w:rsidRDefault="007758B5" w:rsidP="00365D05">
            <w:pPr>
              <w:rPr>
                <w:rFonts w:cstheme="minorHAnsi"/>
                <w:color w:val="FFFFFF" w:themeColor="background1"/>
                <w:sz w:val="2"/>
                <w:szCs w:val="18"/>
              </w:rPr>
            </w:pPr>
          </w:p>
        </w:tc>
      </w:tr>
      <w:tr w:rsidR="007758B5" w:rsidRPr="00296E53" w14:paraId="645F451F" w14:textId="77777777" w:rsidTr="00365D05">
        <w:trPr>
          <w:trHeight w:val="201"/>
        </w:trPr>
        <w:tc>
          <w:tcPr>
            <w:tcW w:w="7518" w:type="dxa"/>
            <w:shd w:val="clear" w:color="auto" w:fill="0079BF"/>
          </w:tcPr>
          <w:p w14:paraId="1D09784E" w14:textId="77777777" w:rsidR="007758B5" w:rsidRPr="00296E53" w:rsidRDefault="007758B5" w:rsidP="00365D05">
            <w:pPr>
              <w:rPr>
                <w:rFonts w:cstheme="minorHAnsi"/>
                <w:color w:val="FFFFFF" w:themeColor="background1"/>
                <w:sz w:val="2"/>
                <w:szCs w:val="18"/>
              </w:rPr>
            </w:pPr>
          </w:p>
        </w:tc>
        <w:tc>
          <w:tcPr>
            <w:tcW w:w="8789" w:type="dxa"/>
            <w:shd w:val="clear" w:color="auto" w:fill="0079BF"/>
          </w:tcPr>
          <w:p w14:paraId="0F58FFF0" w14:textId="77777777" w:rsidR="007758B5" w:rsidRPr="00296E53" w:rsidRDefault="007758B5" w:rsidP="00365D05">
            <w:pPr>
              <w:rPr>
                <w:rFonts w:cstheme="minorHAnsi"/>
                <w:color w:val="FFFFFF" w:themeColor="background1"/>
                <w:sz w:val="2"/>
                <w:szCs w:val="18"/>
              </w:rPr>
            </w:pPr>
          </w:p>
        </w:tc>
      </w:tr>
    </w:tbl>
    <w:p w14:paraId="35EB932C" w14:textId="77777777" w:rsidR="00E64AC9" w:rsidRPr="00296E53" w:rsidRDefault="00E64AC9" w:rsidP="00E64AC9">
      <w:pPr>
        <w:pStyle w:val="Ttulo1"/>
        <w:spacing w:before="0"/>
        <w:rPr>
          <w:rFonts w:ascii="Century Gothic" w:eastAsiaTheme="minorHAnsi" w:hAnsi="Century Gothic" w:cstheme="minorBidi"/>
          <w:b/>
          <w:color w:val="auto"/>
          <w:sz w:val="22"/>
          <w:szCs w:val="22"/>
        </w:rPr>
      </w:pPr>
      <w:bookmarkStart w:id="15" w:name="_Toc71579"/>
    </w:p>
    <w:p w14:paraId="2979E1D1" w14:textId="77777777" w:rsidR="00E64AC9" w:rsidRPr="00296E53" w:rsidRDefault="00E64AC9" w:rsidP="00E64AC9">
      <w:pPr>
        <w:pStyle w:val="Ttulo1"/>
        <w:spacing w:before="0"/>
        <w:rPr>
          <w:rFonts w:ascii="Century Gothic" w:eastAsiaTheme="minorHAnsi" w:hAnsi="Century Gothic" w:cstheme="minorBidi"/>
          <w:b/>
          <w:color w:val="auto"/>
          <w:sz w:val="22"/>
          <w:szCs w:val="22"/>
        </w:rPr>
      </w:pPr>
      <w:bookmarkStart w:id="16" w:name="_Toc65502230"/>
      <w:r w:rsidRPr="00296E53">
        <w:rPr>
          <w:rFonts w:ascii="Century Gothic" w:eastAsiaTheme="minorHAnsi" w:hAnsi="Century Gothic" w:cstheme="minorBidi"/>
          <w:b/>
          <w:color w:val="auto"/>
          <w:sz w:val="22"/>
          <w:szCs w:val="22"/>
        </w:rPr>
        <w:t>Anexo 3: Indicadores de Puntualidad</w:t>
      </w:r>
      <w:bookmarkEnd w:id="16"/>
    </w:p>
    <w:p w14:paraId="43D8D8CE" w14:textId="77777777" w:rsidR="00B32610" w:rsidRPr="00296E53" w:rsidRDefault="00B32610" w:rsidP="00B32610">
      <w:pPr>
        <w:spacing w:before="120"/>
        <w:jc w:val="both"/>
        <w:rPr>
          <w:rFonts w:ascii="Century Gothic" w:hAnsi="Century Gothic"/>
          <w:sz w:val="19"/>
          <w:szCs w:val="19"/>
        </w:rPr>
      </w:pPr>
      <w:r w:rsidRPr="00296E53">
        <w:rPr>
          <w:rFonts w:ascii="Century Gothic" w:eastAsia="Calibri" w:hAnsi="Century Gothic"/>
          <w:spacing w:val="-1"/>
          <w:sz w:val="19"/>
          <w:szCs w:val="19"/>
        </w:rPr>
        <w:t>La puntualidad consiste en diseminar la información conforme a un calendario previamente establecido. La LSNIEG establece que, en el mes de diciembre de cada año, la Junta de Gobierno</w:t>
      </w:r>
      <w:r w:rsidRPr="00296E53">
        <w:rPr>
          <w:rFonts w:ascii="Century Gothic" w:hAnsi="Century Gothic"/>
          <w:sz w:val="19"/>
          <w:szCs w:val="19"/>
        </w:rPr>
        <w:t xml:space="preserve"> aprueba el Calendario Anual de Difusión (Calendario) que establece la fecha y hora de publicación de la información estadística y geográfica para el año siguiente. Este Calendario se distribuye vía correo electrónico a usuarios estratégicos: periodistas, analistas, tomadores de decisiones, entre otros. Además, se publica en el sitio del INEGI en Internet. El Calendario se revisa de manera trimestral por la Junta de Gobierno del Instituto.</w:t>
      </w:r>
      <w:r w:rsidR="00D256F6" w:rsidRPr="00296E53">
        <w:rPr>
          <w:rFonts w:ascii="Century Gothic" w:hAnsi="Century Gothic"/>
          <w:sz w:val="19"/>
          <w:szCs w:val="19"/>
        </w:rPr>
        <w:t xml:space="preserve"> </w:t>
      </w:r>
    </w:p>
    <w:p w14:paraId="7102346B" w14:textId="77777777" w:rsidR="00B32610" w:rsidRPr="00296E53" w:rsidRDefault="00B32610" w:rsidP="00B32610">
      <w:pPr>
        <w:spacing w:before="120"/>
        <w:jc w:val="both"/>
        <w:rPr>
          <w:rFonts w:ascii="Century Gothic" w:hAnsi="Century Gothic"/>
          <w:sz w:val="19"/>
          <w:szCs w:val="19"/>
        </w:rPr>
      </w:pPr>
      <w:r w:rsidRPr="00296E53">
        <w:rPr>
          <w:rFonts w:ascii="Century Gothic" w:hAnsi="Century Gothic"/>
          <w:sz w:val="19"/>
          <w:szCs w:val="19"/>
        </w:rPr>
        <w:t xml:space="preserve">Actualmente se cuenta con dos indicadores aprobados para medir la puntualidad de la información: </w:t>
      </w:r>
    </w:p>
    <w:p w14:paraId="7CA1E80D" w14:textId="4AEA0074" w:rsidR="00B32610" w:rsidRPr="00296E53" w:rsidRDefault="00B32610" w:rsidP="00B32610">
      <w:pPr>
        <w:spacing w:before="120"/>
        <w:ind w:left="142"/>
        <w:jc w:val="both"/>
        <w:rPr>
          <w:rFonts w:ascii="Century Gothic" w:hAnsi="Century Gothic"/>
          <w:i/>
          <w:sz w:val="19"/>
          <w:szCs w:val="19"/>
        </w:rPr>
      </w:pPr>
      <w:r w:rsidRPr="00296E53">
        <w:rPr>
          <w:rFonts w:ascii="Century Gothic" w:hAnsi="Century Gothic"/>
          <w:b/>
          <w:i/>
          <w:sz w:val="19"/>
          <w:szCs w:val="19"/>
        </w:rPr>
        <w:t>P1</w:t>
      </w:r>
      <w:r w:rsidRPr="00296E53">
        <w:rPr>
          <w:rFonts w:ascii="Century Gothic" w:hAnsi="Century Gothic"/>
          <w:i/>
          <w:sz w:val="19"/>
          <w:szCs w:val="19"/>
        </w:rPr>
        <w:t>. Porcentaje de proyectos estadísticos y geográficos publicados en el sitio del INEGI cuya fecha de publicación se comprometió en el Calendario de difusión de información estadística y geográfica y de Interés Nacional del INEGI.</w:t>
      </w:r>
    </w:p>
    <w:p w14:paraId="6A502C3D" w14:textId="77777777" w:rsidR="00B32610" w:rsidRPr="00296E53" w:rsidRDefault="00B32610" w:rsidP="00B32610">
      <w:pPr>
        <w:spacing w:before="120"/>
        <w:ind w:left="142"/>
        <w:jc w:val="both"/>
        <w:rPr>
          <w:rFonts w:ascii="Century Gothic" w:hAnsi="Century Gothic"/>
          <w:sz w:val="19"/>
          <w:szCs w:val="19"/>
        </w:rPr>
      </w:pPr>
      <w:r w:rsidRPr="00296E53">
        <w:rPr>
          <w:rFonts w:ascii="Century Gothic" w:hAnsi="Century Gothic"/>
          <w:b/>
          <w:i/>
          <w:sz w:val="19"/>
          <w:szCs w:val="19"/>
        </w:rPr>
        <w:t>P2.</w:t>
      </w:r>
      <w:r w:rsidRPr="00296E53">
        <w:rPr>
          <w:rFonts w:ascii="Century Gothic" w:hAnsi="Century Gothic"/>
          <w:i/>
          <w:sz w:val="19"/>
          <w:szCs w:val="19"/>
        </w:rPr>
        <w:t xml:space="preserve"> Porcentaje de proyectos estadísticos y geográficos incluidos en el Calendario de difusión de información estadística y geográfica y de Interés Nacional del INEGI que fueron publicados puntualmente.</w:t>
      </w:r>
    </w:p>
    <w:p w14:paraId="20BE0132" w14:textId="77777777" w:rsidR="00B32610" w:rsidRPr="00296E53" w:rsidRDefault="00B32610" w:rsidP="00B32610">
      <w:pPr>
        <w:spacing w:before="120"/>
        <w:jc w:val="both"/>
        <w:rPr>
          <w:rFonts w:ascii="Century Gothic" w:hAnsi="Century Gothic"/>
          <w:sz w:val="19"/>
          <w:szCs w:val="19"/>
        </w:rPr>
      </w:pPr>
      <w:r w:rsidRPr="00296E53">
        <w:rPr>
          <w:rFonts w:ascii="Century Gothic" w:hAnsi="Century Gothic"/>
          <w:sz w:val="19"/>
          <w:szCs w:val="19"/>
        </w:rPr>
        <w:t xml:space="preserve">Con respecto al indicador de puntualidad P1, de los 573 </w:t>
      </w:r>
      <w:bookmarkStart w:id="17" w:name="_Hlk30163865"/>
      <w:r w:rsidRPr="00296E53">
        <w:rPr>
          <w:rFonts w:ascii="Century Gothic" w:hAnsi="Century Gothic"/>
          <w:sz w:val="19"/>
          <w:szCs w:val="19"/>
        </w:rPr>
        <w:t xml:space="preserve">productos de resultados de los programas de información estadística y geográfica publicados en 2020 </w:t>
      </w:r>
      <w:bookmarkEnd w:id="17"/>
      <w:r w:rsidRPr="00296E53">
        <w:rPr>
          <w:rFonts w:ascii="Century Gothic" w:hAnsi="Century Gothic"/>
          <w:sz w:val="19"/>
          <w:szCs w:val="19"/>
        </w:rPr>
        <w:t>en el sitio del INEGI en Internet,</w:t>
      </w:r>
      <w:r w:rsidRPr="00296E53">
        <w:rPr>
          <w:rFonts w:ascii="Century Gothic" w:hAnsi="Century Gothic"/>
          <w:sz w:val="19"/>
          <w:szCs w:val="19"/>
          <w:vertAlign w:val="superscript"/>
        </w:rPr>
        <w:t xml:space="preserve"> </w:t>
      </w:r>
      <w:r w:rsidRPr="00296E53">
        <w:rPr>
          <w:rFonts w:ascii="Century Gothic" w:hAnsi="Century Gothic"/>
          <w:sz w:val="19"/>
          <w:szCs w:val="19"/>
        </w:rPr>
        <w:t xml:space="preserve">el 96% (550 entregas de resultados) </w:t>
      </w:r>
      <w:bookmarkStart w:id="18" w:name="_Hlk30163900"/>
      <w:r w:rsidRPr="00296E53">
        <w:rPr>
          <w:rFonts w:ascii="Century Gothic" w:hAnsi="Century Gothic"/>
          <w:sz w:val="19"/>
          <w:szCs w:val="19"/>
        </w:rPr>
        <w:t>estuvieron registrados previamente en el Calendario de difusión</w:t>
      </w:r>
      <w:bookmarkEnd w:id="18"/>
      <w:r w:rsidRPr="00296E53">
        <w:rPr>
          <w:rFonts w:ascii="Century Gothic" w:hAnsi="Century Gothic"/>
          <w:sz w:val="19"/>
          <w:szCs w:val="19"/>
        </w:rPr>
        <w:t xml:space="preserve"> 2020. El 4% restante corresponde a 23 programas de información estadística y geográfica publicados que no fueron incluidos previamente en el Calendario de difusión, los cuales se enlistan en el siguiente cuadro</w:t>
      </w:r>
      <w:r w:rsidR="00CE69A7" w:rsidRPr="00296E53">
        <w:rPr>
          <w:rFonts w:ascii="Century Gothic" w:hAnsi="Century Gothic"/>
          <w:sz w:val="19"/>
          <w:szCs w:val="19"/>
        </w:rPr>
        <w:t>.  Cabe señalar que este porcentaje es sólo 1.4 puntos porcentuales menor al observado en 2019 a pesar de la crisis sanitaria, lo cual refleja la estabilidad en la producción de información estadística y geográfica</w:t>
      </w:r>
      <w:r w:rsidR="00C148D1" w:rsidRPr="00296E53">
        <w:rPr>
          <w:rFonts w:ascii="Century Gothic" w:hAnsi="Century Gothic"/>
          <w:sz w:val="19"/>
          <w:szCs w:val="19"/>
        </w:rPr>
        <w:t>, donde prevalecen los esfuerzos por respetar la solidez metodológica.</w:t>
      </w:r>
    </w:p>
    <w:p w14:paraId="34409742" w14:textId="77777777" w:rsidR="00B32610" w:rsidRPr="00296E53" w:rsidRDefault="0074768A" w:rsidP="00B32610">
      <w:pPr>
        <w:spacing w:before="120"/>
        <w:jc w:val="center"/>
        <w:rPr>
          <w:rFonts w:ascii="Century Gothic" w:hAnsi="Century Gothic"/>
          <w:b/>
          <w:sz w:val="19"/>
          <w:szCs w:val="19"/>
        </w:rPr>
      </w:pPr>
      <w:r w:rsidRPr="00296E53">
        <w:rPr>
          <w:rFonts w:ascii="Century Gothic" w:hAnsi="Century Gothic"/>
          <w:b/>
          <w:sz w:val="19"/>
          <w:szCs w:val="19"/>
        </w:rPr>
        <w:t>A.3</w:t>
      </w:r>
      <w:r w:rsidR="00B32610" w:rsidRPr="00296E53">
        <w:rPr>
          <w:rFonts w:ascii="Century Gothic" w:hAnsi="Century Gothic"/>
          <w:b/>
          <w:sz w:val="19"/>
          <w:szCs w:val="19"/>
        </w:rPr>
        <w:t>.1 Programas de información estadística y geográfica publicados que no fueron incluidos previamente en el Calendario de difusión 2020</w:t>
      </w:r>
    </w:p>
    <w:tbl>
      <w:tblPr>
        <w:tblW w:w="1162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9215"/>
        <w:gridCol w:w="2409"/>
      </w:tblGrid>
      <w:tr w:rsidR="00B32610" w:rsidRPr="00296E53" w14:paraId="07542C20" w14:textId="77777777" w:rsidTr="004B0EEA">
        <w:trPr>
          <w:trHeight w:val="20"/>
          <w:tblHeader/>
          <w:jc w:val="center"/>
        </w:trPr>
        <w:tc>
          <w:tcPr>
            <w:tcW w:w="9215" w:type="dxa"/>
            <w:shd w:val="clear" w:color="000000" w:fill="002060"/>
            <w:vAlign w:val="center"/>
            <w:hideMark/>
          </w:tcPr>
          <w:p w14:paraId="2CF78C61" w14:textId="77777777" w:rsidR="00B32610" w:rsidRPr="00296E53" w:rsidRDefault="00B32610" w:rsidP="004B0EEA">
            <w:pPr>
              <w:spacing w:before="40" w:after="40" w:line="240" w:lineRule="auto"/>
              <w:contextualSpacing/>
              <w:jc w:val="center"/>
              <w:rPr>
                <w:rFonts w:ascii="Century Gothic" w:eastAsia="Times New Roman" w:hAnsi="Century Gothic" w:cs="Calibri"/>
                <w:b/>
                <w:bCs/>
                <w:color w:val="FFFFFF"/>
                <w:sz w:val="16"/>
                <w:szCs w:val="16"/>
                <w:lang w:eastAsia="es-MX"/>
              </w:rPr>
            </w:pPr>
            <w:r w:rsidRPr="00296E53">
              <w:rPr>
                <w:rFonts w:ascii="Century Gothic" w:eastAsia="Times New Roman" w:hAnsi="Century Gothic" w:cs="Calibri"/>
                <w:b/>
                <w:bCs/>
                <w:color w:val="FFFFFF"/>
                <w:sz w:val="16"/>
                <w:szCs w:val="16"/>
                <w:lang w:eastAsia="es-MX"/>
              </w:rPr>
              <w:t xml:space="preserve">Nombre del ciclo de Programa de Información </w:t>
            </w:r>
          </w:p>
        </w:tc>
        <w:tc>
          <w:tcPr>
            <w:tcW w:w="2409" w:type="dxa"/>
            <w:shd w:val="clear" w:color="000000" w:fill="002060"/>
            <w:vAlign w:val="center"/>
            <w:hideMark/>
          </w:tcPr>
          <w:p w14:paraId="2FD13111" w14:textId="77777777" w:rsidR="00B32610" w:rsidRPr="00296E53" w:rsidRDefault="00B32610" w:rsidP="004B0EEA">
            <w:pPr>
              <w:spacing w:before="40" w:after="40" w:line="240" w:lineRule="auto"/>
              <w:contextualSpacing/>
              <w:jc w:val="center"/>
              <w:rPr>
                <w:rFonts w:ascii="Century Gothic" w:eastAsia="Times New Roman" w:hAnsi="Century Gothic" w:cs="Calibri"/>
                <w:b/>
                <w:bCs/>
                <w:color w:val="FFFFFF"/>
                <w:sz w:val="16"/>
                <w:szCs w:val="16"/>
                <w:lang w:eastAsia="es-MX"/>
              </w:rPr>
            </w:pPr>
            <w:r w:rsidRPr="00296E53">
              <w:rPr>
                <w:rFonts w:ascii="Century Gothic" w:eastAsia="Times New Roman" w:hAnsi="Century Gothic" w:cs="Calibri"/>
                <w:b/>
                <w:bCs/>
                <w:color w:val="FFFFFF"/>
                <w:sz w:val="16"/>
                <w:szCs w:val="16"/>
                <w:lang w:eastAsia="es-MX"/>
              </w:rPr>
              <w:t>Fecha de publicación en el sitio del INEGI en Internet</w:t>
            </w:r>
          </w:p>
        </w:tc>
      </w:tr>
      <w:tr w:rsidR="00B32610" w:rsidRPr="00296E53" w14:paraId="4F8C8806" w14:textId="77777777" w:rsidTr="004B0EEA">
        <w:trPr>
          <w:trHeight w:val="20"/>
          <w:jc w:val="center"/>
        </w:trPr>
        <w:tc>
          <w:tcPr>
            <w:tcW w:w="9215" w:type="dxa"/>
            <w:shd w:val="clear" w:color="000000" w:fill="F2F2F2"/>
            <w:noWrap/>
            <w:vAlign w:val="center"/>
            <w:hideMark/>
          </w:tcPr>
          <w:p w14:paraId="432D7E06"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Índice Nacional de Competitividad</w:t>
            </w:r>
          </w:p>
        </w:tc>
        <w:tc>
          <w:tcPr>
            <w:tcW w:w="2409" w:type="dxa"/>
            <w:shd w:val="clear" w:color="000000" w:fill="F2F2F2"/>
            <w:noWrap/>
            <w:vAlign w:val="center"/>
            <w:hideMark/>
          </w:tcPr>
          <w:p w14:paraId="43488113"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28/02/2020</w:t>
            </w:r>
          </w:p>
        </w:tc>
      </w:tr>
      <w:tr w:rsidR="00B32610" w:rsidRPr="00296E53" w14:paraId="421E356D" w14:textId="77777777" w:rsidTr="004B0EEA">
        <w:trPr>
          <w:trHeight w:val="20"/>
          <w:jc w:val="center"/>
        </w:trPr>
        <w:tc>
          <w:tcPr>
            <w:tcW w:w="9215" w:type="dxa"/>
            <w:shd w:val="clear" w:color="000000" w:fill="BDD7EE"/>
            <w:noWrap/>
            <w:vAlign w:val="center"/>
            <w:hideMark/>
          </w:tcPr>
          <w:p w14:paraId="5D4B2B04"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Nacional sobre Disponibilidad y Uso de Tecnologías de la Información en los Hogares (ENDUTIH). 2019</w:t>
            </w:r>
          </w:p>
        </w:tc>
        <w:tc>
          <w:tcPr>
            <w:tcW w:w="2409" w:type="dxa"/>
            <w:shd w:val="clear" w:color="000000" w:fill="BDD7EE"/>
            <w:noWrap/>
            <w:vAlign w:val="center"/>
            <w:hideMark/>
          </w:tcPr>
          <w:p w14:paraId="27BE1451"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17/02/2020</w:t>
            </w:r>
          </w:p>
        </w:tc>
      </w:tr>
      <w:tr w:rsidR="00B32610" w:rsidRPr="00296E53" w14:paraId="35B421E4" w14:textId="77777777" w:rsidTr="004B0EEA">
        <w:trPr>
          <w:trHeight w:val="20"/>
          <w:jc w:val="center"/>
        </w:trPr>
        <w:tc>
          <w:tcPr>
            <w:tcW w:w="9215" w:type="dxa"/>
            <w:shd w:val="clear" w:color="000000" w:fill="F2F2F2"/>
            <w:noWrap/>
            <w:vAlign w:val="center"/>
            <w:hideMark/>
          </w:tcPr>
          <w:p w14:paraId="1BF473D0"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Módulo sobre Ciberacoso (MOCIBA) 2019</w:t>
            </w:r>
          </w:p>
        </w:tc>
        <w:tc>
          <w:tcPr>
            <w:tcW w:w="2409" w:type="dxa"/>
            <w:shd w:val="clear" w:color="000000" w:fill="F2F2F2"/>
            <w:noWrap/>
            <w:vAlign w:val="center"/>
            <w:hideMark/>
          </w:tcPr>
          <w:p w14:paraId="0C0BA48B"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28/04/2020</w:t>
            </w:r>
          </w:p>
        </w:tc>
      </w:tr>
      <w:tr w:rsidR="00B32610" w:rsidRPr="00296E53" w14:paraId="57540F7B" w14:textId="77777777" w:rsidTr="004B0EEA">
        <w:trPr>
          <w:trHeight w:val="20"/>
          <w:jc w:val="center"/>
        </w:trPr>
        <w:tc>
          <w:tcPr>
            <w:tcW w:w="9215" w:type="dxa"/>
            <w:shd w:val="clear" w:color="000000" w:fill="BDD7EE"/>
            <w:noWrap/>
            <w:vAlign w:val="center"/>
            <w:hideMark/>
          </w:tcPr>
          <w:p w14:paraId="5A8506E9" w14:textId="77777777" w:rsidR="00B32610" w:rsidRPr="00296E53" w:rsidRDefault="00B32610" w:rsidP="004C2C1D">
            <w:pPr>
              <w:pStyle w:val="Prrafodelista"/>
              <w:numPr>
                <w:ilvl w:val="0"/>
                <w:numId w:val="10"/>
              </w:numPr>
              <w:spacing w:before="40" w:after="40" w:line="240" w:lineRule="auto"/>
              <w:ind w:left="353" w:hanging="284"/>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Indicador Mensual Oportuno de la Actividad Manufacturera</w:t>
            </w:r>
          </w:p>
        </w:tc>
        <w:tc>
          <w:tcPr>
            <w:tcW w:w="2409" w:type="dxa"/>
            <w:shd w:val="clear" w:color="000000" w:fill="BDD7EE"/>
            <w:noWrap/>
            <w:vAlign w:val="center"/>
            <w:hideMark/>
          </w:tcPr>
          <w:p w14:paraId="3C6705BE"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08/05/2020</w:t>
            </w:r>
          </w:p>
        </w:tc>
      </w:tr>
      <w:tr w:rsidR="00B32610" w:rsidRPr="00296E53" w14:paraId="30E85FC4" w14:textId="77777777" w:rsidTr="004B0EEA">
        <w:trPr>
          <w:trHeight w:val="20"/>
          <w:jc w:val="center"/>
        </w:trPr>
        <w:tc>
          <w:tcPr>
            <w:tcW w:w="9215" w:type="dxa"/>
            <w:shd w:val="clear" w:color="000000" w:fill="F2F2F2"/>
            <w:noWrap/>
            <w:vAlign w:val="center"/>
            <w:hideMark/>
          </w:tcPr>
          <w:p w14:paraId="4EE2CA22" w14:textId="77777777" w:rsidR="00B32610" w:rsidRPr="00296E53" w:rsidRDefault="00B32610" w:rsidP="004C2C1D">
            <w:pPr>
              <w:pStyle w:val="Prrafodelista"/>
              <w:numPr>
                <w:ilvl w:val="0"/>
                <w:numId w:val="10"/>
              </w:numPr>
              <w:spacing w:before="40" w:after="40" w:line="240" w:lineRule="auto"/>
              <w:ind w:left="353" w:hanging="284"/>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Telefónica sobre Confianza del Consumidor (ETCO) 2020</w:t>
            </w:r>
          </w:p>
        </w:tc>
        <w:tc>
          <w:tcPr>
            <w:tcW w:w="2409" w:type="dxa"/>
            <w:shd w:val="clear" w:color="000000" w:fill="F2F2F2"/>
            <w:noWrap/>
            <w:vAlign w:val="center"/>
            <w:hideMark/>
          </w:tcPr>
          <w:p w14:paraId="6D715C21"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28/05/2020</w:t>
            </w:r>
          </w:p>
        </w:tc>
      </w:tr>
      <w:tr w:rsidR="00B32610" w:rsidRPr="00296E53" w14:paraId="07F2EED2" w14:textId="77777777" w:rsidTr="004B0EEA">
        <w:trPr>
          <w:trHeight w:val="20"/>
          <w:jc w:val="center"/>
        </w:trPr>
        <w:tc>
          <w:tcPr>
            <w:tcW w:w="9215" w:type="dxa"/>
            <w:shd w:val="clear" w:color="000000" w:fill="BDD7EE"/>
            <w:noWrap/>
            <w:vAlign w:val="center"/>
            <w:hideMark/>
          </w:tcPr>
          <w:p w14:paraId="5DAEACC1"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Telefónica de Ocupación y Empleo (ETOE) 2020</w:t>
            </w:r>
          </w:p>
        </w:tc>
        <w:tc>
          <w:tcPr>
            <w:tcW w:w="2409" w:type="dxa"/>
            <w:shd w:val="clear" w:color="000000" w:fill="BDD7EE"/>
            <w:noWrap/>
            <w:vAlign w:val="center"/>
            <w:hideMark/>
          </w:tcPr>
          <w:p w14:paraId="11265E0E"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01/06/2020</w:t>
            </w:r>
          </w:p>
        </w:tc>
      </w:tr>
      <w:tr w:rsidR="00B32610" w:rsidRPr="00296E53" w14:paraId="5334CE46" w14:textId="77777777" w:rsidTr="004B0EEA">
        <w:trPr>
          <w:trHeight w:val="20"/>
          <w:jc w:val="center"/>
        </w:trPr>
        <w:tc>
          <w:tcPr>
            <w:tcW w:w="9215" w:type="dxa"/>
            <w:shd w:val="clear" w:color="000000" w:fill="F2F2F2"/>
            <w:noWrap/>
            <w:vAlign w:val="center"/>
            <w:hideMark/>
          </w:tcPr>
          <w:p w14:paraId="0DC09674"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Nacional de Acceso a la Información Pública y Protección de Datos Personales (ENAID) 2019</w:t>
            </w:r>
          </w:p>
        </w:tc>
        <w:tc>
          <w:tcPr>
            <w:tcW w:w="2409" w:type="dxa"/>
            <w:shd w:val="clear" w:color="000000" w:fill="F2F2F2"/>
            <w:noWrap/>
            <w:vAlign w:val="center"/>
            <w:hideMark/>
          </w:tcPr>
          <w:p w14:paraId="3058A168"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17/06/2020</w:t>
            </w:r>
          </w:p>
        </w:tc>
      </w:tr>
      <w:tr w:rsidR="00B32610" w:rsidRPr="00296E53" w14:paraId="12643097" w14:textId="77777777" w:rsidTr="004B0EEA">
        <w:trPr>
          <w:trHeight w:val="20"/>
          <w:jc w:val="center"/>
        </w:trPr>
        <w:tc>
          <w:tcPr>
            <w:tcW w:w="9215" w:type="dxa"/>
            <w:shd w:val="clear" w:color="000000" w:fill="BDD7EE"/>
            <w:noWrap/>
            <w:vAlign w:val="center"/>
            <w:hideMark/>
          </w:tcPr>
          <w:p w14:paraId="2BDA35D0"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ENSANUT 2018, Prevalencia de enfermedades a nivel municipal</w:t>
            </w:r>
          </w:p>
        </w:tc>
        <w:tc>
          <w:tcPr>
            <w:tcW w:w="2409" w:type="dxa"/>
            <w:shd w:val="clear" w:color="000000" w:fill="BDD7EE"/>
            <w:noWrap/>
            <w:vAlign w:val="center"/>
            <w:hideMark/>
          </w:tcPr>
          <w:p w14:paraId="6D4F32FE"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20/07/2020</w:t>
            </w:r>
          </w:p>
        </w:tc>
      </w:tr>
      <w:tr w:rsidR="00B32610" w:rsidRPr="00296E53" w14:paraId="254CBF1C" w14:textId="77777777" w:rsidTr="004B0EEA">
        <w:trPr>
          <w:trHeight w:val="20"/>
          <w:jc w:val="center"/>
        </w:trPr>
        <w:tc>
          <w:tcPr>
            <w:tcW w:w="9215" w:type="dxa"/>
            <w:shd w:val="clear" w:color="000000" w:fill="F2F2F2"/>
            <w:noWrap/>
            <w:vAlign w:val="center"/>
            <w:hideMark/>
          </w:tcPr>
          <w:p w14:paraId="28A8BD24"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de Calidad Regulatoria e Impacto Gubernamental en Empresas de la Ciudad de México 2019 (ECRIGE-CDMX 2019)</w:t>
            </w:r>
          </w:p>
        </w:tc>
        <w:tc>
          <w:tcPr>
            <w:tcW w:w="2409" w:type="dxa"/>
            <w:shd w:val="clear" w:color="000000" w:fill="F2F2F2"/>
            <w:noWrap/>
            <w:vAlign w:val="center"/>
            <w:hideMark/>
          </w:tcPr>
          <w:p w14:paraId="6C6CCEF7"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22/07/2020</w:t>
            </w:r>
          </w:p>
        </w:tc>
      </w:tr>
      <w:tr w:rsidR="00B32610" w:rsidRPr="00296E53" w14:paraId="407B7692" w14:textId="77777777" w:rsidTr="004B0EEA">
        <w:trPr>
          <w:trHeight w:val="20"/>
          <w:jc w:val="center"/>
        </w:trPr>
        <w:tc>
          <w:tcPr>
            <w:tcW w:w="9215" w:type="dxa"/>
            <w:shd w:val="clear" w:color="000000" w:fill="BDD7EE"/>
            <w:noWrap/>
            <w:vAlign w:val="center"/>
            <w:hideMark/>
          </w:tcPr>
          <w:p w14:paraId="0C4C65E0"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Nacional de Agencias Funerarias ante COVID-19 (ENAF) 2020*</w:t>
            </w:r>
          </w:p>
        </w:tc>
        <w:tc>
          <w:tcPr>
            <w:tcW w:w="2409" w:type="dxa"/>
            <w:shd w:val="clear" w:color="000000" w:fill="BDD7EE"/>
            <w:noWrap/>
            <w:vAlign w:val="center"/>
            <w:hideMark/>
          </w:tcPr>
          <w:p w14:paraId="69ECE78A"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23/07/2020</w:t>
            </w:r>
          </w:p>
        </w:tc>
      </w:tr>
      <w:tr w:rsidR="00B32610" w:rsidRPr="00296E53" w14:paraId="17F30C33" w14:textId="77777777" w:rsidTr="004B0EEA">
        <w:trPr>
          <w:trHeight w:val="20"/>
          <w:jc w:val="center"/>
        </w:trPr>
        <w:tc>
          <w:tcPr>
            <w:tcW w:w="9215" w:type="dxa"/>
            <w:shd w:val="clear" w:color="000000" w:fill="F2F2F2"/>
            <w:noWrap/>
            <w:vAlign w:val="center"/>
            <w:hideMark/>
          </w:tcPr>
          <w:p w14:paraId="5B8085EB"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sobre el Impacto Económico Generado por COVID-19 en las Empresas (ECOVID-IE) 2020*</w:t>
            </w:r>
          </w:p>
        </w:tc>
        <w:tc>
          <w:tcPr>
            <w:tcW w:w="2409" w:type="dxa"/>
            <w:shd w:val="clear" w:color="000000" w:fill="F2F2F2"/>
            <w:noWrap/>
            <w:vAlign w:val="center"/>
            <w:hideMark/>
          </w:tcPr>
          <w:p w14:paraId="6C9E8221"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23/07/2020</w:t>
            </w:r>
          </w:p>
        </w:tc>
      </w:tr>
      <w:tr w:rsidR="00B32610" w:rsidRPr="00296E53" w14:paraId="008C99FB" w14:textId="77777777" w:rsidTr="004B0EEA">
        <w:trPr>
          <w:trHeight w:val="20"/>
          <w:jc w:val="center"/>
        </w:trPr>
        <w:tc>
          <w:tcPr>
            <w:tcW w:w="9215" w:type="dxa"/>
            <w:shd w:val="clear" w:color="000000" w:fill="BDD7EE"/>
            <w:noWrap/>
            <w:vAlign w:val="center"/>
            <w:hideMark/>
          </w:tcPr>
          <w:p w14:paraId="6227BCB1"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Telefónica sobre COVID-19 y Mercado Laboral (ECOVID-</w:t>
            </w:r>
            <w:proofErr w:type="gramStart"/>
            <w:r w:rsidRPr="00296E53">
              <w:rPr>
                <w:rFonts w:ascii="Century Gothic" w:eastAsia="Times New Roman" w:hAnsi="Century Gothic" w:cs="Calibri"/>
                <w:color w:val="000000"/>
                <w:sz w:val="16"/>
                <w:szCs w:val="16"/>
                <w:lang w:val="es-ES" w:eastAsia="es-MX"/>
              </w:rPr>
              <w:t>ML)*</w:t>
            </w:r>
            <w:proofErr w:type="gramEnd"/>
          </w:p>
        </w:tc>
        <w:tc>
          <w:tcPr>
            <w:tcW w:w="2409" w:type="dxa"/>
            <w:shd w:val="clear" w:color="000000" w:fill="BDD7EE"/>
            <w:noWrap/>
            <w:vAlign w:val="center"/>
            <w:hideMark/>
          </w:tcPr>
          <w:p w14:paraId="297ECD09"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23/07/2020</w:t>
            </w:r>
          </w:p>
        </w:tc>
      </w:tr>
      <w:tr w:rsidR="00B32610" w:rsidRPr="00296E53" w14:paraId="4C52B294" w14:textId="77777777" w:rsidTr="004B0EEA">
        <w:trPr>
          <w:trHeight w:val="20"/>
          <w:jc w:val="center"/>
        </w:trPr>
        <w:tc>
          <w:tcPr>
            <w:tcW w:w="9215" w:type="dxa"/>
            <w:shd w:val="clear" w:color="000000" w:fill="F2F2F2"/>
            <w:noWrap/>
            <w:vAlign w:val="center"/>
            <w:hideMark/>
          </w:tcPr>
          <w:p w14:paraId="2CFBDF24" w14:textId="77777777" w:rsidR="00B32610" w:rsidRPr="00296E53" w:rsidRDefault="00B32610" w:rsidP="004C2C1D">
            <w:pPr>
              <w:pStyle w:val="Prrafodelista"/>
              <w:numPr>
                <w:ilvl w:val="0"/>
                <w:numId w:val="10"/>
              </w:numPr>
              <w:spacing w:before="40" w:after="40" w:line="240" w:lineRule="auto"/>
              <w:ind w:left="353" w:hanging="284"/>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Nacional sobre Salud y Envejecimiento en México 2018</w:t>
            </w:r>
          </w:p>
        </w:tc>
        <w:tc>
          <w:tcPr>
            <w:tcW w:w="2409" w:type="dxa"/>
            <w:shd w:val="clear" w:color="000000" w:fill="F2F2F2"/>
            <w:noWrap/>
            <w:vAlign w:val="center"/>
            <w:hideMark/>
          </w:tcPr>
          <w:p w14:paraId="55AC4151"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01/10/2020</w:t>
            </w:r>
          </w:p>
        </w:tc>
      </w:tr>
      <w:tr w:rsidR="00B32610" w:rsidRPr="00296E53" w14:paraId="6973D3C7" w14:textId="77777777" w:rsidTr="004B0EEA">
        <w:trPr>
          <w:trHeight w:val="20"/>
          <w:jc w:val="center"/>
        </w:trPr>
        <w:tc>
          <w:tcPr>
            <w:tcW w:w="9215" w:type="dxa"/>
            <w:shd w:val="clear" w:color="000000" w:fill="BDD7EE"/>
            <w:noWrap/>
            <w:vAlign w:val="center"/>
            <w:hideMark/>
          </w:tcPr>
          <w:p w14:paraId="1B99BA60"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Nacional sobre Uso del Tiempo (ENUT) 2019</w:t>
            </w:r>
          </w:p>
        </w:tc>
        <w:tc>
          <w:tcPr>
            <w:tcW w:w="2409" w:type="dxa"/>
            <w:shd w:val="clear" w:color="000000" w:fill="BDD7EE"/>
            <w:noWrap/>
            <w:vAlign w:val="center"/>
            <w:hideMark/>
          </w:tcPr>
          <w:p w14:paraId="738FA9D9"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08/10/2020</w:t>
            </w:r>
          </w:p>
        </w:tc>
      </w:tr>
      <w:tr w:rsidR="00B32610" w:rsidRPr="00296E53" w14:paraId="4EB69D56" w14:textId="77777777" w:rsidTr="004B0EEA">
        <w:trPr>
          <w:trHeight w:val="20"/>
          <w:jc w:val="center"/>
        </w:trPr>
        <w:tc>
          <w:tcPr>
            <w:tcW w:w="9215" w:type="dxa"/>
            <w:shd w:val="clear" w:color="auto" w:fill="F2F2F2"/>
            <w:noWrap/>
            <w:vAlign w:val="center"/>
          </w:tcPr>
          <w:p w14:paraId="1B907381" w14:textId="77777777" w:rsidR="00B32610" w:rsidRPr="00296E53" w:rsidRDefault="00B32610" w:rsidP="004C2C1D">
            <w:pPr>
              <w:pStyle w:val="Prrafodelista"/>
              <w:numPr>
                <w:ilvl w:val="0"/>
                <w:numId w:val="10"/>
              </w:numPr>
              <w:spacing w:before="40" w:after="40" w:line="240" w:lineRule="auto"/>
              <w:ind w:left="353" w:hanging="284"/>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Indicador Oportuno de la Actividad Económica</w:t>
            </w:r>
          </w:p>
        </w:tc>
        <w:tc>
          <w:tcPr>
            <w:tcW w:w="2409" w:type="dxa"/>
            <w:shd w:val="clear" w:color="auto" w:fill="F2F2F2"/>
            <w:noWrap/>
            <w:vAlign w:val="center"/>
          </w:tcPr>
          <w:p w14:paraId="0FABD928"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21/10/2020</w:t>
            </w:r>
          </w:p>
        </w:tc>
      </w:tr>
      <w:tr w:rsidR="00B32610" w:rsidRPr="00296E53" w14:paraId="2EB2CB11" w14:textId="77777777" w:rsidTr="004B0EEA">
        <w:trPr>
          <w:trHeight w:val="20"/>
          <w:jc w:val="center"/>
        </w:trPr>
        <w:tc>
          <w:tcPr>
            <w:tcW w:w="9215" w:type="dxa"/>
            <w:shd w:val="clear" w:color="000000" w:fill="BDD7EE"/>
            <w:noWrap/>
            <w:vAlign w:val="center"/>
          </w:tcPr>
          <w:p w14:paraId="4EBEC2DC"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Recopilación de Información de los Cementerios Públicos en las Zonas Metropolitanas del País 2020</w:t>
            </w:r>
          </w:p>
        </w:tc>
        <w:tc>
          <w:tcPr>
            <w:tcW w:w="2409" w:type="dxa"/>
            <w:shd w:val="clear" w:color="000000" w:fill="BDD7EE"/>
            <w:noWrap/>
            <w:vAlign w:val="center"/>
          </w:tcPr>
          <w:p w14:paraId="07464ADE"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28/10/2020</w:t>
            </w:r>
          </w:p>
        </w:tc>
      </w:tr>
      <w:tr w:rsidR="00B32610" w:rsidRPr="00296E53" w14:paraId="2B898578" w14:textId="77777777" w:rsidTr="004B0EEA">
        <w:trPr>
          <w:trHeight w:val="20"/>
          <w:jc w:val="center"/>
        </w:trPr>
        <w:tc>
          <w:tcPr>
            <w:tcW w:w="9215" w:type="dxa"/>
            <w:shd w:val="clear" w:color="auto" w:fill="F2F2F2"/>
            <w:noWrap/>
            <w:vAlign w:val="center"/>
          </w:tcPr>
          <w:p w14:paraId="1C25094B"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Encuesta Nacional Agropecuaria 2019</w:t>
            </w:r>
          </w:p>
        </w:tc>
        <w:tc>
          <w:tcPr>
            <w:tcW w:w="2409" w:type="dxa"/>
            <w:shd w:val="clear" w:color="auto" w:fill="F2F2F2"/>
            <w:noWrap/>
            <w:vAlign w:val="center"/>
          </w:tcPr>
          <w:p w14:paraId="53E24BFA"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29/10/2020</w:t>
            </w:r>
          </w:p>
        </w:tc>
      </w:tr>
      <w:tr w:rsidR="00B32610" w:rsidRPr="00296E53" w14:paraId="3BD97653" w14:textId="77777777" w:rsidTr="004B0EEA">
        <w:trPr>
          <w:trHeight w:val="20"/>
          <w:jc w:val="center"/>
        </w:trPr>
        <w:tc>
          <w:tcPr>
            <w:tcW w:w="9215" w:type="dxa"/>
            <w:shd w:val="clear" w:color="000000" w:fill="BDD7EE"/>
            <w:noWrap/>
            <w:vAlign w:val="center"/>
          </w:tcPr>
          <w:p w14:paraId="55D229A7"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Modelos estadísticos para las entidades federativas de México. Indicadores laborales, abril-junio de 2020</w:t>
            </w:r>
          </w:p>
        </w:tc>
        <w:tc>
          <w:tcPr>
            <w:tcW w:w="2409" w:type="dxa"/>
            <w:shd w:val="clear" w:color="000000" w:fill="BDD7EE"/>
            <w:noWrap/>
            <w:vAlign w:val="center"/>
          </w:tcPr>
          <w:p w14:paraId="7A94DC6F"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13/11/2020</w:t>
            </w:r>
          </w:p>
        </w:tc>
      </w:tr>
      <w:tr w:rsidR="00B32610" w:rsidRPr="00296E53" w14:paraId="1CC24ABF" w14:textId="77777777" w:rsidTr="004B0EEA">
        <w:trPr>
          <w:trHeight w:val="20"/>
          <w:jc w:val="center"/>
        </w:trPr>
        <w:tc>
          <w:tcPr>
            <w:tcW w:w="9215" w:type="dxa"/>
            <w:shd w:val="clear" w:color="auto" w:fill="F2F2F2"/>
            <w:noWrap/>
            <w:vAlign w:val="center"/>
          </w:tcPr>
          <w:p w14:paraId="209D2C7D"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proofErr w:type="spellStart"/>
            <w:r w:rsidRPr="00296E53">
              <w:rPr>
                <w:rFonts w:ascii="Century Gothic" w:eastAsia="Times New Roman" w:hAnsi="Century Gothic" w:cs="Calibri"/>
                <w:color w:val="000000"/>
                <w:sz w:val="16"/>
                <w:szCs w:val="16"/>
                <w:lang w:val="es-ES" w:eastAsia="es-MX"/>
              </w:rPr>
              <w:t>Geomediana</w:t>
            </w:r>
            <w:proofErr w:type="spellEnd"/>
            <w:r w:rsidRPr="00296E53">
              <w:rPr>
                <w:rFonts w:ascii="Century Gothic" w:eastAsia="Times New Roman" w:hAnsi="Century Gothic" w:cs="Calibri"/>
                <w:color w:val="000000"/>
                <w:sz w:val="16"/>
                <w:szCs w:val="16"/>
                <w:lang w:val="es-ES" w:eastAsia="es-MX"/>
              </w:rPr>
              <w:t xml:space="preserve"> Landsat</w:t>
            </w:r>
          </w:p>
        </w:tc>
        <w:tc>
          <w:tcPr>
            <w:tcW w:w="2409" w:type="dxa"/>
            <w:shd w:val="clear" w:color="auto" w:fill="F2F2F2"/>
            <w:noWrap/>
            <w:vAlign w:val="center"/>
          </w:tcPr>
          <w:p w14:paraId="48C0852F"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18/11/2020</w:t>
            </w:r>
          </w:p>
        </w:tc>
      </w:tr>
      <w:tr w:rsidR="00B32610" w:rsidRPr="00296E53" w14:paraId="1CD4318B" w14:textId="77777777" w:rsidTr="004B0EEA">
        <w:trPr>
          <w:trHeight w:val="20"/>
          <w:jc w:val="center"/>
        </w:trPr>
        <w:tc>
          <w:tcPr>
            <w:tcW w:w="9215" w:type="dxa"/>
            <w:shd w:val="clear" w:color="000000" w:fill="BDD7EE"/>
            <w:noWrap/>
            <w:vAlign w:val="center"/>
          </w:tcPr>
          <w:p w14:paraId="64BA3FBA"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Estudios de la Demografía de los Negocios (EDN)</w:t>
            </w:r>
          </w:p>
        </w:tc>
        <w:tc>
          <w:tcPr>
            <w:tcW w:w="2409" w:type="dxa"/>
            <w:shd w:val="clear" w:color="000000" w:fill="BDD7EE"/>
            <w:noWrap/>
            <w:vAlign w:val="center"/>
          </w:tcPr>
          <w:p w14:paraId="582BA134"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02/12/2020</w:t>
            </w:r>
          </w:p>
        </w:tc>
      </w:tr>
      <w:tr w:rsidR="00B32610" w:rsidRPr="00296E53" w14:paraId="69B31709" w14:textId="77777777" w:rsidTr="004B0EEA">
        <w:trPr>
          <w:trHeight w:val="20"/>
          <w:jc w:val="center"/>
        </w:trPr>
        <w:tc>
          <w:tcPr>
            <w:tcW w:w="9215" w:type="dxa"/>
            <w:shd w:val="clear" w:color="auto" w:fill="F2F2F2"/>
            <w:noWrap/>
            <w:vAlign w:val="center"/>
          </w:tcPr>
          <w:p w14:paraId="137D5952"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Encuesta Nacional de Trabajo Infantil 2019</w:t>
            </w:r>
          </w:p>
        </w:tc>
        <w:tc>
          <w:tcPr>
            <w:tcW w:w="2409" w:type="dxa"/>
            <w:shd w:val="clear" w:color="auto" w:fill="F2F2F2"/>
            <w:noWrap/>
            <w:vAlign w:val="center"/>
          </w:tcPr>
          <w:p w14:paraId="4AD85EA1"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07/12/2020</w:t>
            </w:r>
          </w:p>
        </w:tc>
      </w:tr>
      <w:tr w:rsidR="00B32610" w:rsidRPr="00296E53" w14:paraId="5433A419" w14:textId="77777777" w:rsidTr="004B0EEA">
        <w:trPr>
          <w:trHeight w:val="20"/>
          <w:jc w:val="center"/>
        </w:trPr>
        <w:tc>
          <w:tcPr>
            <w:tcW w:w="9215" w:type="dxa"/>
            <w:shd w:val="clear" w:color="000000" w:fill="BDD7EE"/>
            <w:noWrap/>
            <w:vAlign w:val="center"/>
          </w:tcPr>
          <w:p w14:paraId="1687983A"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Encuesta Nacional de Inserción Laboral de los Egresados de la Educación Media Superior (ENILEMS) 2019</w:t>
            </w:r>
          </w:p>
        </w:tc>
        <w:tc>
          <w:tcPr>
            <w:tcW w:w="2409" w:type="dxa"/>
            <w:shd w:val="clear" w:color="000000" w:fill="BDD7EE"/>
            <w:noWrap/>
            <w:vAlign w:val="center"/>
          </w:tcPr>
          <w:p w14:paraId="6AE7A862"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16/12/2020</w:t>
            </w:r>
          </w:p>
        </w:tc>
      </w:tr>
      <w:tr w:rsidR="00B32610" w:rsidRPr="00296E53" w14:paraId="262C5D4C" w14:textId="77777777" w:rsidTr="004B0EEA">
        <w:trPr>
          <w:trHeight w:val="20"/>
          <w:jc w:val="center"/>
        </w:trPr>
        <w:tc>
          <w:tcPr>
            <w:tcW w:w="9215" w:type="dxa"/>
            <w:shd w:val="clear" w:color="auto" w:fill="F2F2F2"/>
            <w:noWrap/>
            <w:vAlign w:val="center"/>
          </w:tcPr>
          <w:p w14:paraId="5C2B2D85"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Encuesta Nacional de Inserción Laboral de los Egresados de la Educación Media Superior (ENILEMS) 2016</w:t>
            </w:r>
          </w:p>
        </w:tc>
        <w:tc>
          <w:tcPr>
            <w:tcW w:w="2409" w:type="dxa"/>
            <w:shd w:val="clear" w:color="auto" w:fill="F2F2F2"/>
            <w:noWrap/>
            <w:vAlign w:val="center"/>
          </w:tcPr>
          <w:p w14:paraId="7F7E2A5E"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16/12/2020</w:t>
            </w:r>
          </w:p>
        </w:tc>
      </w:tr>
    </w:tbl>
    <w:p w14:paraId="0F03FDE9" w14:textId="77777777" w:rsidR="00B32610" w:rsidRPr="00296E53" w:rsidRDefault="00B32610" w:rsidP="00B32610">
      <w:pPr>
        <w:spacing w:before="120"/>
        <w:jc w:val="both"/>
        <w:rPr>
          <w:rFonts w:ascii="Century Gothic" w:hAnsi="Century Gothic" w:cstheme="minorHAnsi"/>
          <w:sz w:val="12"/>
          <w:szCs w:val="12"/>
        </w:rPr>
      </w:pPr>
      <w:r w:rsidRPr="00296E53">
        <w:rPr>
          <w:rFonts w:ascii="Century Gothic" w:eastAsia="Times New Roman" w:hAnsi="Century Gothic" w:cs="Calibri"/>
          <w:color w:val="000000"/>
          <w:sz w:val="16"/>
          <w:szCs w:val="16"/>
          <w:vertAlign w:val="superscript"/>
          <w:lang w:val="es-ES" w:eastAsia="es-MX"/>
        </w:rPr>
        <w:t xml:space="preserve">* </w:t>
      </w:r>
      <w:r w:rsidRPr="00296E53">
        <w:rPr>
          <w:rFonts w:ascii="Century Gothic" w:hAnsi="Century Gothic"/>
          <w:sz w:val="12"/>
          <w:szCs w:val="12"/>
        </w:rPr>
        <w:t>Programas derivados del estado de emergencia sanitaria originada por el COVID-19.</w:t>
      </w:r>
    </w:p>
    <w:p w14:paraId="27308A32" w14:textId="156B8263" w:rsidR="00B32610" w:rsidRPr="00296E53" w:rsidRDefault="00B32610" w:rsidP="00B32610">
      <w:pPr>
        <w:spacing w:before="120"/>
        <w:jc w:val="both"/>
        <w:rPr>
          <w:rFonts w:ascii="Century Gothic" w:hAnsi="Century Gothic"/>
          <w:sz w:val="19"/>
          <w:szCs w:val="19"/>
        </w:rPr>
      </w:pPr>
      <w:r w:rsidRPr="00296E53">
        <w:rPr>
          <w:rFonts w:ascii="Century Gothic" w:hAnsi="Century Gothic" w:cstheme="minorHAnsi"/>
          <w:sz w:val="19"/>
          <w:szCs w:val="19"/>
        </w:rPr>
        <w:t xml:space="preserve">Con base en la fuente de información antes descrita, de los 550 productos de resultados de los programas de información estadística y geográfica publicados en 2020 que sí estuvieron registrados previamente en el Calendario de difusión, 25 de los productos </w:t>
      </w:r>
      <w:r w:rsidRPr="00296E53">
        <w:rPr>
          <w:rFonts w:ascii="Century Gothic" w:hAnsi="Century Gothic"/>
          <w:sz w:val="19"/>
          <w:szCs w:val="19"/>
        </w:rPr>
        <w:t>no se publicaron puntualmente debido a retraso conforme al Calendario de difusión, cancelación y reprogramación como puede observarse en el siguiente cuadro</w:t>
      </w:r>
      <w:r w:rsidR="00F61D2C" w:rsidRPr="00296E53">
        <w:rPr>
          <w:rFonts w:ascii="Century Gothic" w:hAnsi="Century Gothic"/>
          <w:sz w:val="19"/>
          <w:szCs w:val="19"/>
        </w:rPr>
        <w:t>.</w:t>
      </w:r>
      <w:r w:rsidR="009803B1">
        <w:rPr>
          <w:rFonts w:ascii="Century Gothic" w:hAnsi="Century Gothic"/>
          <w:sz w:val="19"/>
          <w:szCs w:val="19"/>
        </w:rPr>
        <w:t xml:space="preserve"> </w:t>
      </w:r>
      <w:r w:rsidR="00F61D2C" w:rsidRPr="00296E53">
        <w:rPr>
          <w:rFonts w:ascii="Century Gothic" w:hAnsi="Century Gothic"/>
          <w:sz w:val="19"/>
          <w:szCs w:val="19"/>
        </w:rPr>
        <w:t xml:space="preserve">Cabe señalar que 7 programas de información fueron cancelados debido </w:t>
      </w:r>
      <w:r w:rsidR="005E53D4" w:rsidRPr="00296E53">
        <w:rPr>
          <w:rFonts w:ascii="Century Gothic" w:hAnsi="Century Gothic"/>
          <w:sz w:val="19"/>
          <w:szCs w:val="19"/>
        </w:rPr>
        <w:t>a que no fue posible generar la información a causa de la contingencia originada por el COVID-19, especialmente por el Acuerdo del 31 de marzo del 2020</w:t>
      </w:r>
      <w:r w:rsidR="005E53D4" w:rsidRPr="00296E53">
        <w:rPr>
          <w:rStyle w:val="Refdenotaalpie"/>
          <w:rFonts w:ascii="Century Gothic" w:hAnsi="Century Gothic"/>
          <w:sz w:val="19"/>
          <w:szCs w:val="19"/>
        </w:rPr>
        <w:footnoteReference w:id="8"/>
      </w:r>
      <w:r w:rsidR="005E53D4" w:rsidRPr="00296E53">
        <w:rPr>
          <w:rFonts w:ascii="Century Gothic" w:hAnsi="Century Gothic"/>
          <w:sz w:val="19"/>
          <w:szCs w:val="19"/>
        </w:rPr>
        <w:t xml:space="preserve"> relativ</w:t>
      </w:r>
      <w:r w:rsidR="009803B1">
        <w:rPr>
          <w:rFonts w:ascii="Century Gothic" w:hAnsi="Century Gothic"/>
          <w:sz w:val="19"/>
          <w:szCs w:val="19"/>
        </w:rPr>
        <w:t xml:space="preserve">o </w:t>
      </w:r>
      <w:r w:rsidR="005E53D4" w:rsidRPr="00296E53">
        <w:rPr>
          <w:rFonts w:ascii="Century Gothic" w:hAnsi="Century Gothic"/>
          <w:sz w:val="19"/>
          <w:szCs w:val="19"/>
        </w:rPr>
        <w:t xml:space="preserve">a posponer, hasta nuevo aviso, todos los censos y encuestas a realizarse en el territorio nacional. A pesar de la restricción el INEGI implementó encuestas vía telefónica y correo electrónico y, reanudó </w:t>
      </w:r>
      <w:r w:rsidR="008E62FE" w:rsidRPr="00296E53">
        <w:rPr>
          <w:rFonts w:ascii="Century Gothic" w:hAnsi="Century Gothic"/>
          <w:sz w:val="19"/>
          <w:szCs w:val="19"/>
        </w:rPr>
        <w:t xml:space="preserve">las entrevistas presenciales conforme a los Lineamientos Técnicos Específicos para la Reapertura de las Actividades Económicas publicados el 29 de mayo de 2020.  Esto implicó la reprogramación de publicaciones para 10 programas de información, como puede observarse en el siguiente cuadro. </w:t>
      </w:r>
    </w:p>
    <w:p w14:paraId="0C325CA2" w14:textId="77777777" w:rsidR="00B32610" w:rsidRPr="00296E53" w:rsidRDefault="0074768A" w:rsidP="00B32610">
      <w:pPr>
        <w:jc w:val="center"/>
        <w:rPr>
          <w:rFonts w:ascii="Century Gothic" w:hAnsi="Century Gothic" w:cstheme="majorHAnsi"/>
          <w:b/>
          <w:sz w:val="19"/>
          <w:szCs w:val="19"/>
        </w:rPr>
      </w:pPr>
      <w:r w:rsidRPr="00296E53">
        <w:rPr>
          <w:rFonts w:ascii="Century Gothic" w:hAnsi="Century Gothic" w:cstheme="majorHAnsi"/>
          <w:b/>
          <w:sz w:val="19"/>
          <w:szCs w:val="19"/>
        </w:rPr>
        <w:t>A.</w:t>
      </w:r>
      <w:r w:rsidR="00B32610" w:rsidRPr="00296E53">
        <w:rPr>
          <w:rFonts w:ascii="Century Gothic" w:hAnsi="Century Gothic" w:cstheme="majorHAnsi"/>
          <w:b/>
          <w:sz w:val="19"/>
          <w:szCs w:val="19"/>
        </w:rPr>
        <w:t>3.</w:t>
      </w:r>
      <w:r w:rsidRPr="00296E53">
        <w:rPr>
          <w:rFonts w:ascii="Century Gothic" w:hAnsi="Century Gothic" w:cstheme="majorHAnsi"/>
          <w:b/>
          <w:sz w:val="19"/>
          <w:szCs w:val="19"/>
        </w:rPr>
        <w:t>2</w:t>
      </w:r>
      <w:r w:rsidR="00B32610" w:rsidRPr="00296E53">
        <w:rPr>
          <w:rFonts w:ascii="Century Gothic" w:hAnsi="Century Gothic" w:cstheme="majorHAnsi"/>
          <w:b/>
          <w:sz w:val="19"/>
          <w:szCs w:val="19"/>
        </w:rPr>
        <w:t xml:space="preserve"> Entregas de resultados de los programas de información incluidos en el Calendario de difusión 2020</w:t>
      </w:r>
      <w:r w:rsidR="00B32610" w:rsidRPr="00296E53">
        <w:rPr>
          <w:rFonts w:ascii="Century Gothic" w:hAnsi="Century Gothic" w:cstheme="majorHAnsi"/>
          <w:b/>
          <w:sz w:val="19"/>
          <w:szCs w:val="19"/>
        </w:rPr>
        <w:br/>
        <w:t>que no se publicaron conforme al Calendario de difusión 2020</w:t>
      </w:r>
    </w:p>
    <w:tbl>
      <w:tblPr>
        <w:tblW w:w="14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957"/>
        <w:gridCol w:w="1559"/>
        <w:gridCol w:w="1276"/>
        <w:gridCol w:w="1417"/>
        <w:gridCol w:w="5103"/>
      </w:tblGrid>
      <w:tr w:rsidR="00B32610" w:rsidRPr="00296E53" w14:paraId="5511823B" w14:textId="77777777" w:rsidTr="004B0EEA">
        <w:trPr>
          <w:trHeight w:val="20"/>
          <w:tblHeader/>
        </w:trPr>
        <w:tc>
          <w:tcPr>
            <w:tcW w:w="4957" w:type="dxa"/>
            <w:shd w:val="clear" w:color="auto" w:fill="002060"/>
            <w:vAlign w:val="center"/>
          </w:tcPr>
          <w:p w14:paraId="03187CBC" w14:textId="77777777" w:rsidR="00B32610" w:rsidRPr="00296E53" w:rsidRDefault="00B32610" w:rsidP="008934FD">
            <w:pPr>
              <w:spacing w:after="0"/>
              <w:rPr>
                <w:rFonts w:ascii="Century Gothic" w:hAnsi="Century Gothic" w:cs="Arial"/>
                <w:sz w:val="16"/>
                <w:szCs w:val="16"/>
              </w:rPr>
            </w:pPr>
            <w:r w:rsidRPr="00296E53">
              <w:rPr>
                <w:rFonts w:ascii="Century Gothic" w:hAnsi="Century Gothic" w:cs="Arial"/>
                <w:sz w:val="16"/>
                <w:szCs w:val="16"/>
              </w:rPr>
              <w:t>Programa de Información</w:t>
            </w:r>
          </w:p>
        </w:tc>
        <w:tc>
          <w:tcPr>
            <w:tcW w:w="1559" w:type="dxa"/>
            <w:shd w:val="clear" w:color="auto" w:fill="002060"/>
            <w:vAlign w:val="center"/>
          </w:tcPr>
          <w:p w14:paraId="5D75EF8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Fecha de publicación</w:t>
            </w:r>
          </w:p>
        </w:tc>
        <w:tc>
          <w:tcPr>
            <w:tcW w:w="1276" w:type="dxa"/>
            <w:shd w:val="clear" w:color="auto" w:fill="002060"/>
            <w:vAlign w:val="center"/>
          </w:tcPr>
          <w:p w14:paraId="1072962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Periodicidad</w:t>
            </w:r>
          </w:p>
        </w:tc>
        <w:tc>
          <w:tcPr>
            <w:tcW w:w="1417" w:type="dxa"/>
            <w:shd w:val="clear" w:color="auto" w:fill="002060"/>
            <w:vAlign w:val="center"/>
          </w:tcPr>
          <w:p w14:paraId="16F69EE0"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Situación presentada</w:t>
            </w:r>
          </w:p>
        </w:tc>
        <w:tc>
          <w:tcPr>
            <w:tcW w:w="5103" w:type="dxa"/>
            <w:shd w:val="clear" w:color="auto" w:fill="002060"/>
            <w:noWrap/>
            <w:vAlign w:val="center"/>
          </w:tcPr>
          <w:p w14:paraId="0E39A8E8"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Causa del desvío</w:t>
            </w:r>
          </w:p>
        </w:tc>
      </w:tr>
      <w:tr w:rsidR="00B32610" w:rsidRPr="00296E53" w14:paraId="76481011" w14:textId="77777777" w:rsidTr="004B0EEA">
        <w:trPr>
          <w:trHeight w:val="20"/>
        </w:trPr>
        <w:tc>
          <w:tcPr>
            <w:tcW w:w="4957" w:type="dxa"/>
            <w:shd w:val="clear" w:color="auto" w:fill="F2F2F2" w:themeFill="background1" w:themeFillShade="F2"/>
            <w:vAlign w:val="center"/>
          </w:tcPr>
          <w:p w14:paraId="41B5E50F"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Nacional de Gobierno, Seguridad Pública y Sistema Penitenciario Estatales (CNGSPSPE), 2020. Preliminar.</w:t>
            </w:r>
          </w:p>
        </w:tc>
        <w:tc>
          <w:tcPr>
            <w:tcW w:w="1559" w:type="dxa"/>
            <w:shd w:val="clear" w:color="auto" w:fill="F2F2F2" w:themeFill="background1" w:themeFillShade="F2"/>
            <w:vAlign w:val="center"/>
          </w:tcPr>
          <w:p w14:paraId="7A213E8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13 de agosto</w:t>
            </w:r>
          </w:p>
        </w:tc>
        <w:tc>
          <w:tcPr>
            <w:tcW w:w="1276" w:type="dxa"/>
            <w:shd w:val="clear" w:color="auto" w:fill="F2F2F2" w:themeFill="background1" w:themeFillShade="F2"/>
            <w:vAlign w:val="center"/>
          </w:tcPr>
          <w:p w14:paraId="68687ED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0BD79238" w14:textId="77777777" w:rsidR="00B32610" w:rsidRPr="00296E53" w:rsidRDefault="00B32610" w:rsidP="008934FD">
            <w:pPr>
              <w:spacing w:after="0" w:line="360" w:lineRule="auto"/>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68112F1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no fue posible generar la información estadística preliminar de este Censo.</w:t>
            </w:r>
          </w:p>
        </w:tc>
      </w:tr>
      <w:tr w:rsidR="00B32610" w:rsidRPr="00296E53" w14:paraId="2ADFFFC3" w14:textId="77777777" w:rsidTr="004B0EEA">
        <w:trPr>
          <w:trHeight w:val="20"/>
        </w:trPr>
        <w:tc>
          <w:tcPr>
            <w:tcW w:w="4957" w:type="dxa"/>
            <w:shd w:val="clear" w:color="auto" w:fill="F2F2F2" w:themeFill="background1" w:themeFillShade="F2"/>
            <w:vAlign w:val="center"/>
          </w:tcPr>
          <w:p w14:paraId="459D5B67"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Nacional de Impartición de Justicia Estatal (CNIJE), 2020. Preliminar.</w:t>
            </w:r>
          </w:p>
        </w:tc>
        <w:tc>
          <w:tcPr>
            <w:tcW w:w="1559" w:type="dxa"/>
            <w:shd w:val="clear" w:color="auto" w:fill="F2F2F2" w:themeFill="background1" w:themeFillShade="F2"/>
            <w:vAlign w:val="center"/>
          </w:tcPr>
          <w:p w14:paraId="40C868BE"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13 de agosto</w:t>
            </w:r>
          </w:p>
        </w:tc>
        <w:tc>
          <w:tcPr>
            <w:tcW w:w="1276" w:type="dxa"/>
            <w:shd w:val="clear" w:color="auto" w:fill="F2F2F2" w:themeFill="background1" w:themeFillShade="F2"/>
            <w:vAlign w:val="center"/>
          </w:tcPr>
          <w:p w14:paraId="6367113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040B92A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4B05717F"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no fue posible generar la información estadística preliminar de este censo.</w:t>
            </w:r>
          </w:p>
        </w:tc>
      </w:tr>
      <w:tr w:rsidR="00B32610" w:rsidRPr="00296E53" w14:paraId="6166624C" w14:textId="77777777" w:rsidTr="004B0EEA">
        <w:trPr>
          <w:trHeight w:val="20"/>
        </w:trPr>
        <w:tc>
          <w:tcPr>
            <w:tcW w:w="4957" w:type="dxa"/>
            <w:shd w:val="clear" w:color="auto" w:fill="F2F2F2" w:themeFill="background1" w:themeFillShade="F2"/>
            <w:vAlign w:val="center"/>
          </w:tcPr>
          <w:p w14:paraId="6E63A18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Confianza del consumidor</w:t>
            </w:r>
          </w:p>
          <w:p w14:paraId="7F3868A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(Encuesta Nacional sobre Confianza del Consumidor – ENCO)</w:t>
            </w:r>
          </w:p>
        </w:tc>
        <w:tc>
          <w:tcPr>
            <w:tcW w:w="1559" w:type="dxa"/>
            <w:shd w:val="clear" w:color="auto" w:fill="F2F2F2" w:themeFill="background1" w:themeFillShade="F2"/>
            <w:vAlign w:val="center"/>
          </w:tcPr>
          <w:p w14:paraId="321463F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4 de junio</w:t>
            </w:r>
          </w:p>
          <w:p w14:paraId="534C5166"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3 de julio</w:t>
            </w:r>
          </w:p>
          <w:p w14:paraId="31DB9F4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5 de agosto</w:t>
            </w:r>
          </w:p>
        </w:tc>
        <w:tc>
          <w:tcPr>
            <w:tcW w:w="1276" w:type="dxa"/>
            <w:shd w:val="clear" w:color="auto" w:fill="F2F2F2" w:themeFill="background1" w:themeFillShade="F2"/>
            <w:vAlign w:val="center"/>
          </w:tcPr>
          <w:p w14:paraId="51795B5A"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Mensual</w:t>
            </w:r>
          </w:p>
        </w:tc>
        <w:tc>
          <w:tcPr>
            <w:tcW w:w="1417" w:type="dxa"/>
            <w:shd w:val="clear" w:color="auto" w:fill="F2F2F2" w:themeFill="background1" w:themeFillShade="F2"/>
            <w:vAlign w:val="center"/>
          </w:tcPr>
          <w:p w14:paraId="37B26443"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51BD2CA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originada por el COVID-19, no fue posible generar información estadística para los periodos de mayo, junio y julio</w:t>
            </w:r>
          </w:p>
        </w:tc>
      </w:tr>
      <w:tr w:rsidR="00B32610" w:rsidRPr="00296E53" w14:paraId="405DF506" w14:textId="77777777" w:rsidTr="004B0EEA">
        <w:trPr>
          <w:trHeight w:val="20"/>
        </w:trPr>
        <w:tc>
          <w:tcPr>
            <w:tcW w:w="4957" w:type="dxa"/>
            <w:shd w:val="clear" w:color="auto" w:fill="F2F2F2" w:themeFill="background1" w:themeFillShade="F2"/>
            <w:vAlign w:val="center"/>
          </w:tcPr>
          <w:p w14:paraId="2FD5EBD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 xml:space="preserve">Encuesta Nacional de Ocupación y Empleo (ENOE). </w:t>
            </w:r>
          </w:p>
        </w:tc>
        <w:tc>
          <w:tcPr>
            <w:tcW w:w="1559" w:type="dxa"/>
            <w:shd w:val="clear" w:color="auto" w:fill="F2F2F2" w:themeFill="background1" w:themeFillShade="F2"/>
            <w:vAlign w:val="center"/>
          </w:tcPr>
          <w:p w14:paraId="3CC50546"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17 de agosto</w:t>
            </w:r>
          </w:p>
        </w:tc>
        <w:tc>
          <w:tcPr>
            <w:tcW w:w="1276" w:type="dxa"/>
            <w:shd w:val="clear" w:color="auto" w:fill="F2F2F2" w:themeFill="background1" w:themeFillShade="F2"/>
            <w:vAlign w:val="center"/>
          </w:tcPr>
          <w:p w14:paraId="6D681F6D"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Trimestral</w:t>
            </w:r>
          </w:p>
        </w:tc>
        <w:tc>
          <w:tcPr>
            <w:tcW w:w="1417" w:type="dxa"/>
            <w:shd w:val="clear" w:color="auto" w:fill="F2F2F2" w:themeFill="background1" w:themeFillShade="F2"/>
            <w:vAlign w:val="center"/>
          </w:tcPr>
          <w:p w14:paraId="4E8A8000"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325D4CF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no fue posible generar información estadística para el 2do.trimestre.</w:t>
            </w:r>
          </w:p>
        </w:tc>
      </w:tr>
      <w:tr w:rsidR="00B32610" w:rsidRPr="00296E53" w14:paraId="3649B645" w14:textId="77777777" w:rsidTr="004B0EEA">
        <w:trPr>
          <w:trHeight w:val="20"/>
        </w:trPr>
        <w:tc>
          <w:tcPr>
            <w:tcW w:w="4957" w:type="dxa"/>
            <w:shd w:val="clear" w:color="auto" w:fill="F2F2F2" w:themeFill="background1" w:themeFillShade="F2"/>
            <w:vAlign w:val="center"/>
          </w:tcPr>
          <w:p w14:paraId="6F8DAC7C"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 xml:space="preserve">Encuesta Nacional de Seguridad Pública Urbana (ENSU). </w:t>
            </w:r>
          </w:p>
        </w:tc>
        <w:tc>
          <w:tcPr>
            <w:tcW w:w="1559" w:type="dxa"/>
            <w:shd w:val="clear" w:color="auto" w:fill="F2F2F2" w:themeFill="background1" w:themeFillShade="F2"/>
            <w:vAlign w:val="center"/>
          </w:tcPr>
          <w:p w14:paraId="291F11ED"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15 de julio</w:t>
            </w:r>
          </w:p>
        </w:tc>
        <w:tc>
          <w:tcPr>
            <w:tcW w:w="1276" w:type="dxa"/>
            <w:shd w:val="clear" w:color="auto" w:fill="F2F2F2" w:themeFill="background1" w:themeFillShade="F2"/>
            <w:vAlign w:val="center"/>
          </w:tcPr>
          <w:p w14:paraId="27FF74C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Trimestral</w:t>
            </w:r>
          </w:p>
        </w:tc>
        <w:tc>
          <w:tcPr>
            <w:tcW w:w="1417" w:type="dxa"/>
            <w:shd w:val="clear" w:color="auto" w:fill="F2F2F2" w:themeFill="background1" w:themeFillShade="F2"/>
            <w:vAlign w:val="center"/>
          </w:tcPr>
          <w:p w14:paraId="0E2F112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3EB163AD"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no fue posible generar información estadística para el 2do.trimestre.</w:t>
            </w:r>
          </w:p>
        </w:tc>
      </w:tr>
      <w:tr w:rsidR="00B32610" w:rsidRPr="00296E53" w14:paraId="10762D76" w14:textId="77777777" w:rsidTr="004B0EEA">
        <w:trPr>
          <w:trHeight w:val="20"/>
        </w:trPr>
        <w:tc>
          <w:tcPr>
            <w:tcW w:w="4957" w:type="dxa"/>
            <w:shd w:val="clear" w:color="auto" w:fill="F2F2F2" w:themeFill="background1" w:themeFillShade="F2"/>
            <w:vAlign w:val="center"/>
          </w:tcPr>
          <w:p w14:paraId="44E2476A"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 xml:space="preserve">Indicadores de Bienestar </w:t>
            </w:r>
            <w:proofErr w:type="spellStart"/>
            <w:r w:rsidRPr="00296E53">
              <w:rPr>
                <w:rFonts w:ascii="Century Gothic" w:hAnsi="Century Gothic" w:cs="Arial"/>
                <w:sz w:val="16"/>
                <w:szCs w:val="16"/>
              </w:rPr>
              <w:t>Autorreportado</w:t>
            </w:r>
            <w:proofErr w:type="spellEnd"/>
            <w:r w:rsidRPr="00296E53">
              <w:rPr>
                <w:rFonts w:ascii="Century Gothic" w:hAnsi="Century Gothic" w:cs="Arial"/>
                <w:sz w:val="16"/>
                <w:szCs w:val="16"/>
              </w:rPr>
              <w:t xml:space="preserve"> de la Población Urbana.</w:t>
            </w:r>
          </w:p>
        </w:tc>
        <w:tc>
          <w:tcPr>
            <w:tcW w:w="1559" w:type="dxa"/>
            <w:shd w:val="clear" w:color="auto" w:fill="F2F2F2" w:themeFill="background1" w:themeFillShade="F2"/>
            <w:vAlign w:val="center"/>
          </w:tcPr>
          <w:p w14:paraId="37DA78E3"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27 de agosto</w:t>
            </w:r>
          </w:p>
        </w:tc>
        <w:tc>
          <w:tcPr>
            <w:tcW w:w="1276" w:type="dxa"/>
            <w:shd w:val="clear" w:color="auto" w:fill="F2F2F2" w:themeFill="background1" w:themeFillShade="F2"/>
            <w:vAlign w:val="center"/>
          </w:tcPr>
          <w:p w14:paraId="535C6BF7"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Semestral</w:t>
            </w:r>
          </w:p>
          <w:p w14:paraId="1BA6B1DB" w14:textId="77777777" w:rsidR="00B32610" w:rsidRPr="00296E53" w:rsidRDefault="00B32610" w:rsidP="008934FD">
            <w:pPr>
              <w:spacing w:after="0"/>
              <w:jc w:val="center"/>
              <w:rPr>
                <w:rFonts w:ascii="Century Gothic" w:hAnsi="Century Gothic" w:cs="Arial"/>
                <w:sz w:val="16"/>
                <w:szCs w:val="16"/>
              </w:rPr>
            </w:pPr>
          </w:p>
        </w:tc>
        <w:tc>
          <w:tcPr>
            <w:tcW w:w="1417" w:type="dxa"/>
            <w:shd w:val="clear" w:color="auto" w:fill="F2F2F2" w:themeFill="background1" w:themeFillShade="F2"/>
            <w:vAlign w:val="center"/>
          </w:tcPr>
          <w:p w14:paraId="6501F13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168F3F2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no fue posible generar información estadística para el 2do.semestre</w:t>
            </w:r>
          </w:p>
        </w:tc>
      </w:tr>
      <w:tr w:rsidR="00B32610" w:rsidRPr="00296E53" w14:paraId="26826DA3" w14:textId="77777777" w:rsidTr="004B0EEA">
        <w:trPr>
          <w:trHeight w:val="20"/>
        </w:trPr>
        <w:tc>
          <w:tcPr>
            <w:tcW w:w="4957" w:type="dxa"/>
            <w:shd w:val="clear" w:color="auto" w:fill="F2F2F2" w:themeFill="background1" w:themeFillShade="F2"/>
            <w:vAlign w:val="center"/>
          </w:tcPr>
          <w:p w14:paraId="20BAB22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Indicadores de Ocupación y Empleo */O/</w:t>
            </w:r>
          </w:p>
          <w:p w14:paraId="3550608C"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(Encuesta Nacional de Ocupación y Empleo - ENOE).</w:t>
            </w:r>
          </w:p>
        </w:tc>
        <w:tc>
          <w:tcPr>
            <w:tcW w:w="1559" w:type="dxa"/>
            <w:shd w:val="clear" w:color="auto" w:fill="F2F2F2" w:themeFill="background1" w:themeFillShade="F2"/>
            <w:vAlign w:val="center"/>
          </w:tcPr>
          <w:p w14:paraId="6794BC6A"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23 de junio</w:t>
            </w:r>
          </w:p>
          <w:p w14:paraId="500D1B6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27 de julio</w:t>
            </w:r>
          </w:p>
          <w:p w14:paraId="21E02F28"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25 de agosto</w:t>
            </w:r>
          </w:p>
        </w:tc>
        <w:tc>
          <w:tcPr>
            <w:tcW w:w="1276" w:type="dxa"/>
            <w:shd w:val="clear" w:color="auto" w:fill="F2F2F2" w:themeFill="background1" w:themeFillShade="F2"/>
            <w:vAlign w:val="center"/>
          </w:tcPr>
          <w:p w14:paraId="307DDFFC"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Mensual</w:t>
            </w:r>
          </w:p>
        </w:tc>
        <w:tc>
          <w:tcPr>
            <w:tcW w:w="1417" w:type="dxa"/>
            <w:shd w:val="clear" w:color="auto" w:fill="F2F2F2" w:themeFill="background1" w:themeFillShade="F2"/>
            <w:vAlign w:val="center"/>
          </w:tcPr>
          <w:p w14:paraId="680680D7"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5C899E1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no fue posible generar información estadística para los periodos de mayo, junio y julio.</w:t>
            </w:r>
          </w:p>
        </w:tc>
      </w:tr>
      <w:tr w:rsidR="00B32610" w:rsidRPr="00296E53" w14:paraId="36E0D79B" w14:textId="77777777" w:rsidTr="004B0EEA">
        <w:trPr>
          <w:trHeight w:val="20"/>
        </w:trPr>
        <w:tc>
          <w:tcPr>
            <w:tcW w:w="4957" w:type="dxa"/>
            <w:shd w:val="clear" w:color="auto" w:fill="F2F2F2" w:themeFill="background1" w:themeFillShade="F2"/>
            <w:vAlign w:val="center"/>
          </w:tcPr>
          <w:p w14:paraId="74B4D02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de Población y Vivienda 2020. IIN/ */</w:t>
            </w:r>
          </w:p>
        </w:tc>
        <w:tc>
          <w:tcPr>
            <w:tcW w:w="1559" w:type="dxa"/>
            <w:shd w:val="clear" w:color="auto" w:fill="F2F2F2" w:themeFill="background1" w:themeFillShade="F2"/>
            <w:vAlign w:val="center"/>
          </w:tcPr>
          <w:p w14:paraId="57A2E62C"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 de diciembre</w:t>
            </w:r>
          </w:p>
          <w:p w14:paraId="1F651D33"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25 de enero 2021</w:t>
            </w:r>
          </w:p>
        </w:tc>
        <w:tc>
          <w:tcPr>
            <w:tcW w:w="1276" w:type="dxa"/>
            <w:shd w:val="clear" w:color="auto" w:fill="F2F2F2" w:themeFill="background1" w:themeFillShade="F2"/>
            <w:vAlign w:val="center"/>
          </w:tcPr>
          <w:p w14:paraId="051DE0A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Decenal</w:t>
            </w:r>
          </w:p>
        </w:tc>
        <w:tc>
          <w:tcPr>
            <w:tcW w:w="1417" w:type="dxa"/>
            <w:shd w:val="clear" w:color="auto" w:fill="F2F2F2" w:themeFill="background1" w:themeFillShade="F2"/>
            <w:vAlign w:val="center"/>
          </w:tcPr>
          <w:p w14:paraId="663F55AE"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26C6E23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 2 veces.</w:t>
            </w:r>
          </w:p>
        </w:tc>
      </w:tr>
      <w:tr w:rsidR="00B32610" w:rsidRPr="00296E53" w14:paraId="5E0FCA37" w14:textId="77777777" w:rsidTr="004B0EEA">
        <w:trPr>
          <w:trHeight w:val="20"/>
        </w:trPr>
        <w:tc>
          <w:tcPr>
            <w:tcW w:w="4957" w:type="dxa"/>
            <w:shd w:val="clear" w:color="auto" w:fill="F2F2F2" w:themeFill="background1" w:themeFillShade="F2"/>
            <w:vAlign w:val="center"/>
          </w:tcPr>
          <w:p w14:paraId="6ABC32A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Nacional de Procuración de Justicia Federal (CNPJF), 2020.</w:t>
            </w:r>
          </w:p>
        </w:tc>
        <w:tc>
          <w:tcPr>
            <w:tcW w:w="1559" w:type="dxa"/>
            <w:shd w:val="clear" w:color="auto" w:fill="F2F2F2" w:themeFill="background1" w:themeFillShade="F2"/>
            <w:vAlign w:val="center"/>
          </w:tcPr>
          <w:p w14:paraId="50F0B066"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 de diciembre</w:t>
            </w:r>
          </w:p>
          <w:p w14:paraId="3CAC109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25 de enero 2021</w:t>
            </w:r>
          </w:p>
        </w:tc>
        <w:tc>
          <w:tcPr>
            <w:tcW w:w="1276" w:type="dxa"/>
            <w:shd w:val="clear" w:color="auto" w:fill="F2F2F2" w:themeFill="background1" w:themeFillShade="F2"/>
            <w:vAlign w:val="center"/>
          </w:tcPr>
          <w:p w14:paraId="300490E0"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3A36A11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5CCDCBC9"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 2 veces.</w:t>
            </w:r>
          </w:p>
        </w:tc>
      </w:tr>
      <w:tr w:rsidR="00B32610" w:rsidRPr="00296E53" w14:paraId="6AF7A49C" w14:textId="77777777" w:rsidTr="004B0EEA">
        <w:trPr>
          <w:trHeight w:val="20"/>
        </w:trPr>
        <w:tc>
          <w:tcPr>
            <w:tcW w:w="4957" w:type="dxa"/>
            <w:shd w:val="clear" w:color="auto" w:fill="F2F2F2" w:themeFill="background1" w:themeFillShade="F2"/>
            <w:vAlign w:val="center"/>
          </w:tcPr>
          <w:p w14:paraId="1ECD84E9"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Nacional de Sistema Penitenciario Federal (CNSPF), 2020.</w:t>
            </w:r>
          </w:p>
        </w:tc>
        <w:tc>
          <w:tcPr>
            <w:tcW w:w="1559" w:type="dxa"/>
            <w:shd w:val="clear" w:color="auto" w:fill="F2F2F2" w:themeFill="background1" w:themeFillShade="F2"/>
            <w:vAlign w:val="center"/>
          </w:tcPr>
          <w:p w14:paraId="4D70ABD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 de diciembre</w:t>
            </w:r>
          </w:p>
          <w:p w14:paraId="767C749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25 de enero 2021</w:t>
            </w:r>
          </w:p>
        </w:tc>
        <w:tc>
          <w:tcPr>
            <w:tcW w:w="1276" w:type="dxa"/>
            <w:shd w:val="clear" w:color="auto" w:fill="F2F2F2" w:themeFill="background1" w:themeFillShade="F2"/>
            <w:vAlign w:val="center"/>
          </w:tcPr>
          <w:p w14:paraId="1F910AB7"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1A54C3C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40E6A29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 2 veces.</w:t>
            </w:r>
          </w:p>
        </w:tc>
      </w:tr>
      <w:tr w:rsidR="00B32610" w:rsidRPr="00296E53" w14:paraId="62E202A7" w14:textId="77777777" w:rsidTr="004B0EEA">
        <w:trPr>
          <w:trHeight w:val="20"/>
        </w:trPr>
        <w:tc>
          <w:tcPr>
            <w:tcW w:w="4957" w:type="dxa"/>
            <w:shd w:val="clear" w:color="auto" w:fill="F2F2F2" w:themeFill="background1" w:themeFillShade="F2"/>
            <w:vAlign w:val="center"/>
          </w:tcPr>
          <w:p w14:paraId="3972F24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Nacional de Transparencia, Acceso a la Información Pública y Protección de Datos Personales Estatal (CNTAIPPDPE), 2020.</w:t>
            </w:r>
          </w:p>
        </w:tc>
        <w:tc>
          <w:tcPr>
            <w:tcW w:w="1559" w:type="dxa"/>
            <w:shd w:val="clear" w:color="auto" w:fill="F2F2F2" w:themeFill="background1" w:themeFillShade="F2"/>
            <w:vAlign w:val="center"/>
          </w:tcPr>
          <w:p w14:paraId="09C46B9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3 de diciembre</w:t>
            </w:r>
          </w:p>
        </w:tc>
        <w:tc>
          <w:tcPr>
            <w:tcW w:w="1276" w:type="dxa"/>
            <w:shd w:val="clear" w:color="auto" w:fill="F2F2F2" w:themeFill="background1" w:themeFillShade="F2"/>
            <w:vAlign w:val="center"/>
          </w:tcPr>
          <w:p w14:paraId="4F5FB693"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25EC0CE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6BB6E7A8"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r w:rsidR="00B32610" w:rsidRPr="00296E53" w14:paraId="3FD23C87" w14:textId="77777777" w:rsidTr="004B0EEA">
        <w:trPr>
          <w:trHeight w:val="20"/>
        </w:trPr>
        <w:tc>
          <w:tcPr>
            <w:tcW w:w="4957" w:type="dxa"/>
            <w:shd w:val="clear" w:color="auto" w:fill="F2F2F2" w:themeFill="background1" w:themeFillShade="F2"/>
            <w:vAlign w:val="center"/>
          </w:tcPr>
          <w:p w14:paraId="138CACC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Encuesta Nacional de Victimización de Empresas (ENVE), 2020. IIN/ */ 4/</w:t>
            </w:r>
          </w:p>
        </w:tc>
        <w:tc>
          <w:tcPr>
            <w:tcW w:w="1559" w:type="dxa"/>
            <w:shd w:val="clear" w:color="auto" w:fill="F2F2F2" w:themeFill="background1" w:themeFillShade="F2"/>
            <w:vAlign w:val="center"/>
          </w:tcPr>
          <w:p w14:paraId="16CD9F59"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10 de diciembre</w:t>
            </w:r>
          </w:p>
        </w:tc>
        <w:tc>
          <w:tcPr>
            <w:tcW w:w="1276" w:type="dxa"/>
            <w:shd w:val="clear" w:color="auto" w:fill="F2F2F2" w:themeFill="background1" w:themeFillShade="F2"/>
            <w:vAlign w:val="center"/>
          </w:tcPr>
          <w:p w14:paraId="6966C44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Bienal</w:t>
            </w:r>
          </w:p>
        </w:tc>
        <w:tc>
          <w:tcPr>
            <w:tcW w:w="1417" w:type="dxa"/>
            <w:shd w:val="clear" w:color="auto" w:fill="F2F2F2" w:themeFill="background1" w:themeFillShade="F2"/>
            <w:vAlign w:val="center"/>
          </w:tcPr>
          <w:p w14:paraId="2684419E"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3AD606DE"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r w:rsidR="00B32610" w:rsidRPr="00296E53" w14:paraId="24759972" w14:textId="77777777" w:rsidTr="004B0EEA">
        <w:trPr>
          <w:trHeight w:val="20"/>
        </w:trPr>
        <w:tc>
          <w:tcPr>
            <w:tcW w:w="4957" w:type="dxa"/>
            <w:shd w:val="clear" w:color="auto" w:fill="F2F2F2" w:themeFill="background1" w:themeFillShade="F2"/>
            <w:vAlign w:val="center"/>
          </w:tcPr>
          <w:p w14:paraId="7F68E4A0"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Encuesta Nacional de Victimización y Percepción sobre Seguridad Pública (ENVIPE), 2020. IIN/ */ 4/</w:t>
            </w:r>
          </w:p>
        </w:tc>
        <w:tc>
          <w:tcPr>
            <w:tcW w:w="1559" w:type="dxa"/>
            <w:shd w:val="clear" w:color="auto" w:fill="F2F2F2" w:themeFill="background1" w:themeFillShade="F2"/>
            <w:vAlign w:val="center"/>
          </w:tcPr>
          <w:p w14:paraId="7617C94E"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10 de diciembre</w:t>
            </w:r>
          </w:p>
        </w:tc>
        <w:tc>
          <w:tcPr>
            <w:tcW w:w="1276" w:type="dxa"/>
            <w:shd w:val="clear" w:color="auto" w:fill="F2F2F2" w:themeFill="background1" w:themeFillShade="F2"/>
            <w:vAlign w:val="center"/>
          </w:tcPr>
          <w:p w14:paraId="0992A6D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5A17DA3A"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601BC586"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r w:rsidR="00B32610" w:rsidRPr="00296E53" w14:paraId="2336061E" w14:textId="77777777" w:rsidTr="004B0EEA">
        <w:trPr>
          <w:trHeight w:val="20"/>
        </w:trPr>
        <w:tc>
          <w:tcPr>
            <w:tcW w:w="4957" w:type="dxa"/>
            <w:shd w:val="clear" w:color="auto" w:fill="F2F2F2" w:themeFill="background1" w:themeFillShade="F2"/>
            <w:vAlign w:val="center"/>
          </w:tcPr>
          <w:p w14:paraId="4E8C763E" w14:textId="77777777" w:rsidR="00B32610" w:rsidRPr="00296E53" w:rsidRDefault="00B32610" w:rsidP="008934FD">
            <w:pPr>
              <w:spacing w:after="0"/>
              <w:jc w:val="center"/>
              <w:rPr>
                <w:rFonts w:ascii="Century Gothic" w:hAnsi="Century Gothic" w:cs="Arial"/>
                <w:sz w:val="16"/>
                <w:szCs w:val="16"/>
              </w:rPr>
            </w:pPr>
          </w:p>
          <w:p w14:paraId="7DA0FB77"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Estadísticas de Mortalidad. Defunciones por homicidio, 2019. Preliminar. */</w:t>
            </w:r>
          </w:p>
        </w:tc>
        <w:tc>
          <w:tcPr>
            <w:tcW w:w="1559" w:type="dxa"/>
            <w:shd w:val="clear" w:color="auto" w:fill="F2F2F2" w:themeFill="background1" w:themeFillShade="F2"/>
            <w:vAlign w:val="center"/>
          </w:tcPr>
          <w:p w14:paraId="23DC075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23 de septiembre</w:t>
            </w:r>
          </w:p>
        </w:tc>
        <w:tc>
          <w:tcPr>
            <w:tcW w:w="1276" w:type="dxa"/>
            <w:shd w:val="clear" w:color="auto" w:fill="F2F2F2" w:themeFill="background1" w:themeFillShade="F2"/>
            <w:vAlign w:val="center"/>
          </w:tcPr>
          <w:p w14:paraId="4B13031A"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336ADC8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259A1576"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r w:rsidR="00B32610" w:rsidRPr="00296E53" w14:paraId="28FB19DA" w14:textId="77777777" w:rsidTr="004B0EEA">
        <w:trPr>
          <w:trHeight w:val="20"/>
        </w:trPr>
        <w:tc>
          <w:tcPr>
            <w:tcW w:w="4957" w:type="dxa"/>
            <w:shd w:val="clear" w:color="auto" w:fill="F2F2F2" w:themeFill="background1" w:themeFillShade="F2"/>
            <w:vAlign w:val="center"/>
          </w:tcPr>
          <w:p w14:paraId="6A9573DA" w14:textId="3BAE7FAB"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Estad</w:t>
            </w:r>
            <w:r w:rsidR="005F1516" w:rsidRPr="00296E53">
              <w:rPr>
                <w:rFonts w:ascii="Century Gothic" w:hAnsi="Century Gothic" w:cs="Arial"/>
                <w:sz w:val="16"/>
                <w:szCs w:val="16"/>
              </w:rPr>
              <w:t>í</w:t>
            </w:r>
            <w:r w:rsidRPr="00296E53">
              <w:rPr>
                <w:rFonts w:ascii="Century Gothic" w:hAnsi="Century Gothic" w:cs="Arial"/>
                <w:sz w:val="16"/>
                <w:szCs w:val="16"/>
              </w:rPr>
              <w:t>sticas de Relaciones Laborales de Ju</w:t>
            </w:r>
            <w:r w:rsidR="005F1516" w:rsidRPr="00296E53">
              <w:rPr>
                <w:rFonts w:ascii="Century Gothic" w:hAnsi="Century Gothic" w:cs="Arial"/>
                <w:sz w:val="16"/>
                <w:szCs w:val="16"/>
              </w:rPr>
              <w:t>r</w:t>
            </w:r>
            <w:r w:rsidRPr="00296E53">
              <w:rPr>
                <w:rFonts w:ascii="Century Gothic" w:hAnsi="Century Gothic" w:cs="Arial"/>
                <w:sz w:val="16"/>
                <w:szCs w:val="16"/>
              </w:rPr>
              <w:t xml:space="preserve">isdicción Local, </w:t>
            </w:r>
            <w:proofErr w:type="gramStart"/>
            <w:r w:rsidRPr="00296E53">
              <w:rPr>
                <w:rFonts w:ascii="Century Gothic" w:hAnsi="Century Gothic" w:cs="Arial"/>
                <w:sz w:val="16"/>
                <w:szCs w:val="16"/>
              </w:rPr>
              <w:t>2019.*</w:t>
            </w:r>
            <w:proofErr w:type="gramEnd"/>
            <w:r w:rsidRPr="00296E53">
              <w:rPr>
                <w:rFonts w:ascii="Century Gothic" w:hAnsi="Century Gothic" w:cs="Arial"/>
                <w:sz w:val="16"/>
                <w:szCs w:val="16"/>
              </w:rPr>
              <w:t>/</w:t>
            </w:r>
          </w:p>
        </w:tc>
        <w:tc>
          <w:tcPr>
            <w:tcW w:w="1559" w:type="dxa"/>
            <w:shd w:val="clear" w:color="auto" w:fill="F2F2F2" w:themeFill="background1" w:themeFillShade="F2"/>
            <w:vAlign w:val="center"/>
          </w:tcPr>
          <w:p w14:paraId="028A72ED"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29 de septiembre</w:t>
            </w:r>
          </w:p>
        </w:tc>
        <w:tc>
          <w:tcPr>
            <w:tcW w:w="1276" w:type="dxa"/>
            <w:shd w:val="clear" w:color="auto" w:fill="F2F2F2" w:themeFill="background1" w:themeFillShade="F2"/>
            <w:vAlign w:val="center"/>
          </w:tcPr>
          <w:p w14:paraId="1467A3D3"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6704923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3569700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r w:rsidR="00B32610" w:rsidRPr="00296E53" w14:paraId="1B53AB0B" w14:textId="77777777" w:rsidTr="004B0EEA">
        <w:trPr>
          <w:trHeight w:val="20"/>
        </w:trPr>
        <w:tc>
          <w:tcPr>
            <w:tcW w:w="4957" w:type="dxa"/>
            <w:shd w:val="clear" w:color="auto" w:fill="F2F2F2" w:themeFill="background1" w:themeFillShade="F2"/>
            <w:vAlign w:val="center"/>
          </w:tcPr>
          <w:p w14:paraId="441B9637"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Módulo sobre Eventos Culturales Seleccionados (MODECULT). */</w:t>
            </w:r>
          </w:p>
        </w:tc>
        <w:tc>
          <w:tcPr>
            <w:tcW w:w="1559" w:type="dxa"/>
            <w:shd w:val="clear" w:color="auto" w:fill="F2F2F2" w:themeFill="background1" w:themeFillShade="F2"/>
            <w:vAlign w:val="center"/>
          </w:tcPr>
          <w:p w14:paraId="715E8389"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10 de diciembre</w:t>
            </w:r>
          </w:p>
        </w:tc>
        <w:tc>
          <w:tcPr>
            <w:tcW w:w="1276" w:type="dxa"/>
            <w:shd w:val="clear" w:color="auto" w:fill="F2F2F2" w:themeFill="background1" w:themeFillShade="F2"/>
            <w:vAlign w:val="center"/>
          </w:tcPr>
          <w:p w14:paraId="51E90A84" w14:textId="77777777" w:rsidR="00B32610" w:rsidRPr="00296E53" w:rsidRDefault="00B32610" w:rsidP="005E53D4">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74454B9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217186F8"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r w:rsidR="00B32610" w:rsidRPr="00296E53" w14:paraId="0493DA95" w14:textId="77777777" w:rsidTr="004B0EEA">
        <w:trPr>
          <w:trHeight w:val="20"/>
        </w:trPr>
        <w:tc>
          <w:tcPr>
            <w:tcW w:w="4957" w:type="dxa"/>
            <w:shd w:val="clear" w:color="auto" w:fill="F2F2F2" w:themeFill="background1" w:themeFillShade="F2"/>
            <w:vAlign w:val="center"/>
          </w:tcPr>
          <w:p w14:paraId="73D57B6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Nacional de Transparencia, Acceso a la Información Pública y Protección de Datos Personales Federal (CNTAIPPDPF), 2020.</w:t>
            </w:r>
          </w:p>
        </w:tc>
        <w:tc>
          <w:tcPr>
            <w:tcW w:w="1559" w:type="dxa"/>
            <w:shd w:val="clear" w:color="auto" w:fill="F2F2F2" w:themeFill="background1" w:themeFillShade="F2"/>
            <w:vAlign w:val="center"/>
          </w:tcPr>
          <w:p w14:paraId="5FEBA69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3 de diciembre</w:t>
            </w:r>
          </w:p>
        </w:tc>
        <w:tc>
          <w:tcPr>
            <w:tcW w:w="1276" w:type="dxa"/>
            <w:shd w:val="clear" w:color="auto" w:fill="F2F2F2" w:themeFill="background1" w:themeFillShade="F2"/>
            <w:vAlign w:val="center"/>
          </w:tcPr>
          <w:p w14:paraId="6E629AB0"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57D535BE"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297B91C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bl>
    <w:p w14:paraId="37353975" w14:textId="77777777" w:rsidR="00B32610" w:rsidRPr="00296E53" w:rsidRDefault="00B32610" w:rsidP="00B32610">
      <w:pPr>
        <w:spacing w:before="120"/>
        <w:jc w:val="both"/>
        <w:rPr>
          <w:rFonts w:ascii="Century Gothic" w:hAnsi="Century Gothic" w:cstheme="minorHAnsi"/>
          <w:sz w:val="19"/>
          <w:szCs w:val="19"/>
        </w:rPr>
      </w:pPr>
      <w:r w:rsidRPr="00296E53">
        <w:rPr>
          <w:rFonts w:ascii="Century Gothic" w:hAnsi="Century Gothic"/>
          <w:sz w:val="19"/>
          <w:szCs w:val="19"/>
        </w:rPr>
        <w:t>El</w:t>
      </w:r>
      <w:r w:rsidRPr="00296E53">
        <w:rPr>
          <w:rFonts w:ascii="Century Gothic" w:hAnsi="Century Gothic" w:cstheme="minorHAnsi"/>
          <w:sz w:val="19"/>
          <w:szCs w:val="19"/>
        </w:rPr>
        <w:t xml:space="preserve"> </w:t>
      </w:r>
      <w:r w:rsidRPr="00296E53">
        <w:rPr>
          <w:rFonts w:ascii="Century Gothic" w:hAnsi="Century Gothic" w:cstheme="minorHAnsi"/>
          <w:i/>
          <w:sz w:val="19"/>
          <w:szCs w:val="19"/>
        </w:rPr>
        <w:t>Porcentaje de programas estadísticos y geográficos incluidos en el Calendario de difusión de información estadística y geográfica y de Interés Nacional del INEGI que fueron publicados puntualmente</w:t>
      </w:r>
      <w:r w:rsidRPr="00296E53">
        <w:rPr>
          <w:rFonts w:ascii="Century Gothic" w:hAnsi="Century Gothic" w:cstheme="minorHAnsi"/>
          <w:sz w:val="19"/>
          <w:szCs w:val="19"/>
        </w:rPr>
        <w:t xml:space="preserve"> fue del 95.5 %.</w:t>
      </w:r>
      <w:r w:rsidR="004D27CC" w:rsidRPr="00296E53">
        <w:rPr>
          <w:rFonts w:ascii="Century Gothic" w:hAnsi="Century Gothic" w:cstheme="minorHAnsi"/>
          <w:sz w:val="19"/>
          <w:szCs w:val="19"/>
        </w:rPr>
        <w:t xml:space="preserve">  Este porcentaje es sólo 4.3 puntos porcentuales menor al observado en </w:t>
      </w:r>
      <w:r w:rsidR="00FB05FE" w:rsidRPr="00296E53">
        <w:rPr>
          <w:rFonts w:ascii="Century Gothic" w:hAnsi="Century Gothic" w:cstheme="minorHAnsi"/>
          <w:sz w:val="19"/>
          <w:szCs w:val="19"/>
        </w:rPr>
        <w:t xml:space="preserve">2019, lo cual destaca el esfuerzo realizado por mantener los productos de información comprometidos a pesar de la situación extraordinaria vivida en 2020. </w:t>
      </w:r>
    </w:p>
    <w:bookmarkEnd w:id="15"/>
    <w:p w14:paraId="0FEA013E" w14:textId="77777777" w:rsidR="00AA3FEC" w:rsidRPr="00296E53" w:rsidRDefault="00AA3FEC">
      <w:pPr>
        <w:rPr>
          <w:rFonts w:ascii="Century Gothic" w:hAnsi="Century Gothic"/>
        </w:rPr>
      </w:pPr>
    </w:p>
    <w:p w14:paraId="1F3E62CB" w14:textId="77777777" w:rsidR="00AA3FEC" w:rsidRPr="00296E53" w:rsidRDefault="00AA3FEC">
      <w:pPr>
        <w:rPr>
          <w:rFonts w:ascii="Century Gothic" w:hAnsi="Century Gothic"/>
        </w:rPr>
      </w:pPr>
      <w:r w:rsidRPr="00296E53">
        <w:rPr>
          <w:rFonts w:ascii="Century Gothic" w:hAnsi="Century Gothic"/>
        </w:rPr>
        <w:br w:type="page"/>
      </w:r>
    </w:p>
    <w:p w14:paraId="3760D339" w14:textId="77777777" w:rsidR="00250C48" w:rsidRPr="00296E53" w:rsidRDefault="00250C48" w:rsidP="00250C48">
      <w:pPr>
        <w:spacing w:after="0"/>
        <w:jc w:val="right"/>
        <w:rPr>
          <w:rFonts w:ascii="Century Gothic" w:hAnsi="Century Gothic"/>
        </w:rPr>
      </w:pPr>
      <w:r w:rsidRPr="00296E53">
        <w:rPr>
          <w:rFonts w:cstheme="minorHAnsi"/>
          <w:color w:val="0079BF"/>
          <w:sz w:val="36"/>
          <w:szCs w:val="144"/>
        </w:rPr>
        <w:t>ANEXO 4</w:t>
      </w:r>
    </w:p>
    <w:tbl>
      <w:tblPr>
        <w:tblW w:w="16307" w:type="dxa"/>
        <w:tblInd w:w="-1139" w:type="dxa"/>
        <w:tblLook w:val="04A0" w:firstRow="1" w:lastRow="0" w:firstColumn="1" w:lastColumn="0" w:noHBand="0" w:noVBand="1"/>
      </w:tblPr>
      <w:tblGrid>
        <w:gridCol w:w="7518"/>
        <w:gridCol w:w="8789"/>
      </w:tblGrid>
      <w:tr w:rsidR="00250C48" w:rsidRPr="00296E53" w14:paraId="4A311813" w14:textId="77777777" w:rsidTr="00365D05">
        <w:trPr>
          <w:trHeight w:val="201"/>
        </w:trPr>
        <w:tc>
          <w:tcPr>
            <w:tcW w:w="7518" w:type="dxa"/>
            <w:shd w:val="clear" w:color="auto" w:fill="1F3864" w:themeFill="accent5" w:themeFillShade="80"/>
          </w:tcPr>
          <w:p w14:paraId="18940481" w14:textId="77777777" w:rsidR="00250C48" w:rsidRPr="00296E53" w:rsidRDefault="00250C48" w:rsidP="00365D05">
            <w:pPr>
              <w:rPr>
                <w:rFonts w:cstheme="minorHAnsi"/>
                <w:color w:val="FFFFFF" w:themeColor="background1"/>
                <w:sz w:val="2"/>
                <w:szCs w:val="18"/>
              </w:rPr>
            </w:pPr>
          </w:p>
        </w:tc>
        <w:tc>
          <w:tcPr>
            <w:tcW w:w="8789" w:type="dxa"/>
            <w:shd w:val="clear" w:color="auto" w:fill="auto"/>
          </w:tcPr>
          <w:p w14:paraId="017D97B1" w14:textId="77777777" w:rsidR="00250C48" w:rsidRPr="00296E53" w:rsidRDefault="00250C48" w:rsidP="00365D05">
            <w:pPr>
              <w:rPr>
                <w:rFonts w:cstheme="minorHAnsi"/>
                <w:color w:val="FFFFFF" w:themeColor="background1"/>
                <w:sz w:val="2"/>
                <w:szCs w:val="18"/>
              </w:rPr>
            </w:pPr>
          </w:p>
        </w:tc>
      </w:tr>
      <w:tr w:rsidR="00250C48" w:rsidRPr="00296E53" w14:paraId="2838B0A0" w14:textId="77777777" w:rsidTr="00365D05">
        <w:trPr>
          <w:trHeight w:val="201"/>
        </w:trPr>
        <w:tc>
          <w:tcPr>
            <w:tcW w:w="7518" w:type="dxa"/>
            <w:shd w:val="clear" w:color="auto" w:fill="0079BF"/>
          </w:tcPr>
          <w:p w14:paraId="58756246" w14:textId="77777777" w:rsidR="00250C48" w:rsidRPr="00296E53" w:rsidRDefault="00250C48" w:rsidP="00365D05">
            <w:pPr>
              <w:rPr>
                <w:rFonts w:cstheme="minorHAnsi"/>
                <w:color w:val="FFFFFF" w:themeColor="background1"/>
                <w:sz w:val="2"/>
                <w:szCs w:val="18"/>
              </w:rPr>
            </w:pPr>
          </w:p>
        </w:tc>
        <w:tc>
          <w:tcPr>
            <w:tcW w:w="8789" w:type="dxa"/>
            <w:shd w:val="clear" w:color="auto" w:fill="0079BF"/>
          </w:tcPr>
          <w:p w14:paraId="2A4806C6" w14:textId="77777777" w:rsidR="00250C48" w:rsidRPr="00296E53" w:rsidRDefault="00250C48" w:rsidP="00365D05">
            <w:pPr>
              <w:rPr>
                <w:rFonts w:cstheme="minorHAnsi"/>
                <w:color w:val="FFFFFF" w:themeColor="background1"/>
                <w:sz w:val="2"/>
                <w:szCs w:val="18"/>
              </w:rPr>
            </w:pPr>
          </w:p>
        </w:tc>
      </w:tr>
    </w:tbl>
    <w:p w14:paraId="21DCA3AC" w14:textId="77777777" w:rsidR="00250C48" w:rsidRPr="00296E53" w:rsidRDefault="00250C48" w:rsidP="00250C48">
      <w:pPr>
        <w:spacing w:after="120"/>
        <w:rPr>
          <w:rFonts w:ascii="Century Gothic" w:hAnsi="Century Gothic"/>
          <w:b/>
          <w:sz w:val="18"/>
        </w:rPr>
      </w:pPr>
    </w:p>
    <w:p w14:paraId="287FC425" w14:textId="77777777" w:rsidR="00F97296" w:rsidRPr="00296E53" w:rsidRDefault="00F97296" w:rsidP="00F97296">
      <w:pPr>
        <w:pStyle w:val="Ttulo1"/>
        <w:spacing w:before="0"/>
        <w:rPr>
          <w:rFonts w:ascii="Century Gothic" w:eastAsiaTheme="minorHAnsi" w:hAnsi="Century Gothic" w:cstheme="minorBidi"/>
          <w:b/>
          <w:color w:val="auto"/>
          <w:sz w:val="22"/>
          <w:szCs w:val="22"/>
        </w:rPr>
      </w:pPr>
      <w:bookmarkStart w:id="19" w:name="_Toc7780903"/>
      <w:bookmarkStart w:id="20" w:name="_Toc65502231"/>
      <w:r w:rsidRPr="00296E53">
        <w:rPr>
          <w:rFonts w:ascii="Century Gothic" w:eastAsiaTheme="minorHAnsi" w:hAnsi="Century Gothic" w:cstheme="minorBidi"/>
          <w:b/>
          <w:color w:val="auto"/>
          <w:sz w:val="22"/>
          <w:szCs w:val="22"/>
        </w:rPr>
        <w:t xml:space="preserve">Anexo </w:t>
      </w:r>
      <w:r w:rsidR="0018148E" w:rsidRPr="00296E53">
        <w:rPr>
          <w:rFonts w:ascii="Century Gothic" w:eastAsiaTheme="minorHAnsi" w:hAnsi="Century Gothic" w:cstheme="minorBidi"/>
          <w:b/>
          <w:color w:val="auto"/>
          <w:sz w:val="22"/>
          <w:szCs w:val="22"/>
        </w:rPr>
        <w:t>4</w:t>
      </w:r>
      <w:r w:rsidRPr="00296E53">
        <w:rPr>
          <w:rFonts w:ascii="Century Gothic" w:eastAsiaTheme="minorHAnsi" w:hAnsi="Century Gothic" w:cstheme="minorBidi"/>
          <w:b/>
          <w:color w:val="auto"/>
          <w:sz w:val="22"/>
          <w:szCs w:val="22"/>
        </w:rPr>
        <w:t>: Indicador de Accesibilidad</w:t>
      </w:r>
      <w:bookmarkEnd w:id="19"/>
      <w:bookmarkEnd w:id="20"/>
    </w:p>
    <w:p w14:paraId="48947DEE" w14:textId="77777777" w:rsidR="00F97296" w:rsidRPr="00296E53" w:rsidRDefault="00F97296" w:rsidP="00F97296">
      <w:pPr>
        <w:spacing w:before="240"/>
        <w:jc w:val="both"/>
        <w:rPr>
          <w:rFonts w:ascii="Century Gothic" w:hAnsi="Century Gothic"/>
          <w:sz w:val="19"/>
          <w:szCs w:val="19"/>
        </w:rPr>
      </w:pPr>
      <w:r w:rsidRPr="00296E53">
        <w:rPr>
          <w:rFonts w:ascii="Century Gothic" w:hAnsi="Century Gothic"/>
          <w:sz w:val="19"/>
          <w:szCs w:val="19"/>
        </w:rPr>
        <w:t>Conforme con la Política de Calidad Institucional, una de las directrices del principio de accesibilidad es facilitar el uso e interpretación de la información, a través de la publicación de los metadatos correspondientes. Actualmente, existen tres normas técnicas para la publicación de metadatos en el INEGI, todas ellas basadas en estándares internacionales.</w:t>
      </w:r>
    </w:p>
    <w:p w14:paraId="03B00009" w14:textId="77777777" w:rsidR="00F97296" w:rsidRPr="00296E53" w:rsidRDefault="0018148E" w:rsidP="00F97296">
      <w:pPr>
        <w:jc w:val="center"/>
        <w:rPr>
          <w:rFonts w:ascii="Century Gothic" w:hAnsi="Century Gothic" w:cstheme="majorHAnsi"/>
          <w:b/>
          <w:sz w:val="19"/>
          <w:szCs w:val="19"/>
        </w:rPr>
      </w:pPr>
      <w:r w:rsidRPr="00296E53">
        <w:rPr>
          <w:rFonts w:ascii="Century Gothic" w:hAnsi="Century Gothic" w:cstheme="majorHAnsi"/>
          <w:b/>
          <w:sz w:val="19"/>
          <w:szCs w:val="19"/>
        </w:rPr>
        <w:t>A.</w:t>
      </w:r>
      <w:r w:rsidR="00517E8F" w:rsidRPr="00296E53">
        <w:rPr>
          <w:rFonts w:ascii="Century Gothic" w:hAnsi="Century Gothic" w:cstheme="majorHAnsi"/>
          <w:b/>
          <w:sz w:val="19"/>
          <w:szCs w:val="19"/>
        </w:rPr>
        <w:t>4</w:t>
      </w:r>
      <w:r w:rsidR="00F97296" w:rsidRPr="00296E53">
        <w:rPr>
          <w:rFonts w:ascii="Century Gothic" w:hAnsi="Century Gothic" w:cstheme="majorHAnsi"/>
          <w:b/>
          <w:sz w:val="19"/>
          <w:szCs w:val="19"/>
        </w:rPr>
        <w:t>.1. Estándares internacionales adoptados en el INEGI para la documentación de metadatos</w:t>
      </w:r>
    </w:p>
    <w:tbl>
      <w:tblPr>
        <w:tblW w:w="14601" w:type="dxa"/>
        <w:tblInd w:w="-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387"/>
        <w:gridCol w:w="4253"/>
        <w:gridCol w:w="4961"/>
      </w:tblGrid>
      <w:tr w:rsidR="00F97296" w:rsidRPr="00296E53" w14:paraId="6CA157CF" w14:textId="77777777" w:rsidTr="00E36538">
        <w:trPr>
          <w:trHeight w:val="20"/>
        </w:trPr>
        <w:tc>
          <w:tcPr>
            <w:tcW w:w="5387" w:type="dxa"/>
            <w:shd w:val="clear" w:color="auto" w:fill="595959" w:themeFill="text1" w:themeFillTint="A6"/>
            <w:tcMar>
              <w:top w:w="15" w:type="dxa"/>
              <w:left w:w="54" w:type="dxa"/>
              <w:bottom w:w="0" w:type="dxa"/>
              <w:right w:w="54" w:type="dxa"/>
            </w:tcMar>
            <w:vAlign w:val="center"/>
            <w:hideMark/>
          </w:tcPr>
          <w:p w14:paraId="11FE1451" w14:textId="77777777" w:rsidR="00F97296" w:rsidRPr="00296E53" w:rsidRDefault="00F97296" w:rsidP="00DF26F0">
            <w:pPr>
              <w:spacing w:after="0" w:line="240" w:lineRule="auto"/>
              <w:jc w:val="center"/>
              <w:rPr>
                <w:rFonts w:ascii="Century Gothic" w:eastAsia="Times New Roman" w:hAnsi="Century Gothic" w:cs="Arial"/>
                <w:sz w:val="16"/>
                <w:szCs w:val="16"/>
                <w:lang w:eastAsia="es-MX"/>
              </w:rPr>
            </w:pPr>
            <w:r w:rsidRPr="00296E53">
              <w:rPr>
                <w:rFonts w:ascii="Century Gothic" w:eastAsia="Helvetica" w:hAnsi="Century Gothic" w:cs="Helvetica"/>
                <w:b/>
                <w:bCs/>
                <w:color w:val="F2F2F2" w:themeColor="background1" w:themeShade="F2"/>
                <w:position w:val="1"/>
                <w:sz w:val="16"/>
                <w:szCs w:val="16"/>
                <w:lang w:eastAsia="es-MX"/>
              </w:rPr>
              <w:t>Norma o especificación</w:t>
            </w:r>
          </w:p>
        </w:tc>
        <w:tc>
          <w:tcPr>
            <w:tcW w:w="4253" w:type="dxa"/>
            <w:shd w:val="clear" w:color="auto" w:fill="595959" w:themeFill="text1" w:themeFillTint="A6"/>
            <w:tcMar>
              <w:top w:w="15" w:type="dxa"/>
              <w:left w:w="54" w:type="dxa"/>
              <w:bottom w:w="0" w:type="dxa"/>
              <w:right w:w="54" w:type="dxa"/>
            </w:tcMar>
            <w:vAlign w:val="center"/>
            <w:hideMark/>
          </w:tcPr>
          <w:p w14:paraId="5B5E1FFF" w14:textId="77777777" w:rsidR="00F97296" w:rsidRPr="00296E53" w:rsidRDefault="00F97296" w:rsidP="00DF26F0">
            <w:pPr>
              <w:spacing w:after="0" w:line="240" w:lineRule="auto"/>
              <w:jc w:val="center"/>
              <w:rPr>
                <w:rFonts w:ascii="Century Gothic" w:eastAsia="Times New Roman" w:hAnsi="Century Gothic" w:cs="Arial"/>
                <w:sz w:val="16"/>
                <w:szCs w:val="16"/>
                <w:lang w:eastAsia="es-MX"/>
              </w:rPr>
            </w:pPr>
            <w:r w:rsidRPr="00296E53">
              <w:rPr>
                <w:rFonts w:ascii="Century Gothic" w:eastAsia="Helvetica" w:hAnsi="Century Gothic" w:cs="Helvetica"/>
                <w:b/>
                <w:bCs/>
                <w:color w:val="F2F2F2" w:themeColor="background1" w:themeShade="F2"/>
                <w:position w:val="1"/>
                <w:sz w:val="16"/>
                <w:szCs w:val="16"/>
                <w:lang w:eastAsia="es-MX"/>
              </w:rPr>
              <w:t>Estándar internacional</w:t>
            </w:r>
          </w:p>
        </w:tc>
        <w:tc>
          <w:tcPr>
            <w:tcW w:w="4961" w:type="dxa"/>
            <w:shd w:val="clear" w:color="auto" w:fill="595959" w:themeFill="text1" w:themeFillTint="A6"/>
            <w:tcMar>
              <w:top w:w="15" w:type="dxa"/>
              <w:left w:w="54" w:type="dxa"/>
              <w:bottom w:w="0" w:type="dxa"/>
              <w:right w:w="54" w:type="dxa"/>
            </w:tcMar>
            <w:vAlign w:val="center"/>
            <w:hideMark/>
          </w:tcPr>
          <w:p w14:paraId="44FE58CC" w14:textId="77777777" w:rsidR="00F97296" w:rsidRPr="00296E53" w:rsidRDefault="00F97296" w:rsidP="00DF26F0">
            <w:pPr>
              <w:spacing w:after="0" w:line="240" w:lineRule="auto"/>
              <w:jc w:val="center"/>
              <w:rPr>
                <w:rFonts w:ascii="Century Gothic" w:eastAsia="Times New Roman" w:hAnsi="Century Gothic" w:cs="Arial"/>
                <w:sz w:val="16"/>
                <w:szCs w:val="16"/>
                <w:lang w:eastAsia="es-MX"/>
              </w:rPr>
            </w:pPr>
            <w:r w:rsidRPr="00296E53">
              <w:rPr>
                <w:rFonts w:ascii="Century Gothic" w:eastAsia="Helvetica" w:hAnsi="Century Gothic" w:cs="Helvetica"/>
                <w:b/>
                <w:bCs/>
                <w:color w:val="F2F2F2" w:themeColor="background1" w:themeShade="F2"/>
                <w:position w:val="1"/>
                <w:sz w:val="16"/>
                <w:szCs w:val="16"/>
                <w:lang w:eastAsia="es-MX"/>
              </w:rPr>
              <w:t>Ámbito de aplicación / Tipo de metadatos</w:t>
            </w:r>
          </w:p>
        </w:tc>
      </w:tr>
      <w:tr w:rsidR="00F97296" w:rsidRPr="00296E53" w14:paraId="16E8A1F5" w14:textId="77777777" w:rsidTr="00E36538">
        <w:trPr>
          <w:trHeight w:val="20"/>
        </w:trPr>
        <w:tc>
          <w:tcPr>
            <w:tcW w:w="5387" w:type="dxa"/>
            <w:shd w:val="clear" w:color="auto" w:fill="FFFFFF" w:themeFill="background1"/>
            <w:tcMar>
              <w:top w:w="15" w:type="dxa"/>
              <w:left w:w="54" w:type="dxa"/>
              <w:bottom w:w="0" w:type="dxa"/>
              <w:right w:w="54" w:type="dxa"/>
            </w:tcMar>
            <w:vAlign w:val="center"/>
            <w:hideMark/>
          </w:tcPr>
          <w:p w14:paraId="04B287E7"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Norma técnica para la elaboración de metadatos para proyectos de generación de información estadística básica y de los componentes estadísticos derivados de proyectos geográficos.</w:t>
            </w:r>
          </w:p>
        </w:tc>
        <w:tc>
          <w:tcPr>
            <w:tcW w:w="4253" w:type="dxa"/>
            <w:shd w:val="clear" w:color="auto" w:fill="FFFFFF" w:themeFill="background1"/>
            <w:tcMar>
              <w:top w:w="15" w:type="dxa"/>
              <w:left w:w="54" w:type="dxa"/>
              <w:bottom w:w="0" w:type="dxa"/>
              <w:right w:w="54" w:type="dxa"/>
            </w:tcMar>
            <w:vAlign w:val="center"/>
            <w:hideMark/>
          </w:tcPr>
          <w:p w14:paraId="50146B61"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Iniciativa de Documentación de Datos (DDI).</w:t>
            </w:r>
          </w:p>
        </w:tc>
        <w:tc>
          <w:tcPr>
            <w:tcW w:w="4961" w:type="dxa"/>
            <w:shd w:val="clear" w:color="auto" w:fill="FFFFFF" w:themeFill="background1"/>
            <w:tcMar>
              <w:top w:w="15" w:type="dxa"/>
              <w:left w:w="54" w:type="dxa"/>
              <w:bottom w:w="0" w:type="dxa"/>
              <w:right w:w="54" w:type="dxa"/>
            </w:tcMar>
            <w:vAlign w:val="center"/>
            <w:hideMark/>
          </w:tcPr>
          <w:p w14:paraId="3A684680"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Programas de información de encuestas, registros y censos.</w:t>
            </w:r>
          </w:p>
          <w:p w14:paraId="4D65634F" w14:textId="77777777" w:rsidR="00F97296" w:rsidRPr="00296E53" w:rsidRDefault="00F97296" w:rsidP="004C2C1D">
            <w:pPr>
              <w:numPr>
                <w:ilvl w:val="0"/>
                <w:numId w:val="6"/>
              </w:numPr>
              <w:spacing w:after="0" w:line="240" w:lineRule="auto"/>
              <w:ind w:left="361" w:hanging="283"/>
              <w:contextualSpacing/>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Metadatos referenciales (programas)</w:t>
            </w:r>
          </w:p>
          <w:p w14:paraId="459F9A20" w14:textId="77777777" w:rsidR="00F97296" w:rsidRPr="00296E53" w:rsidRDefault="00F97296" w:rsidP="004C2C1D">
            <w:pPr>
              <w:numPr>
                <w:ilvl w:val="0"/>
                <w:numId w:val="6"/>
              </w:numPr>
              <w:spacing w:after="0" w:line="240" w:lineRule="auto"/>
              <w:ind w:left="361" w:hanging="283"/>
              <w:contextualSpacing/>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Metadatos estructurales (microdatos)</w:t>
            </w:r>
          </w:p>
        </w:tc>
      </w:tr>
      <w:tr w:rsidR="00F97296" w:rsidRPr="00296E53" w14:paraId="5F75BBC5" w14:textId="77777777" w:rsidTr="00E36538">
        <w:trPr>
          <w:trHeight w:val="20"/>
        </w:trPr>
        <w:tc>
          <w:tcPr>
            <w:tcW w:w="5387" w:type="dxa"/>
            <w:shd w:val="clear" w:color="auto" w:fill="F2F2F2" w:themeFill="background1" w:themeFillShade="F2"/>
            <w:tcMar>
              <w:top w:w="15" w:type="dxa"/>
              <w:left w:w="54" w:type="dxa"/>
              <w:bottom w:w="0" w:type="dxa"/>
              <w:right w:w="54" w:type="dxa"/>
            </w:tcMar>
            <w:vAlign w:val="center"/>
            <w:hideMark/>
          </w:tcPr>
          <w:p w14:paraId="7599EFCB"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Norma técnica para la elaboración de metadatos geográficos.</w:t>
            </w:r>
          </w:p>
        </w:tc>
        <w:tc>
          <w:tcPr>
            <w:tcW w:w="4253" w:type="dxa"/>
            <w:shd w:val="clear" w:color="auto" w:fill="F2F2F2" w:themeFill="background1" w:themeFillShade="F2"/>
            <w:tcMar>
              <w:top w:w="15" w:type="dxa"/>
              <w:left w:w="54" w:type="dxa"/>
              <w:bottom w:w="0" w:type="dxa"/>
              <w:right w:w="54" w:type="dxa"/>
            </w:tcMar>
            <w:vAlign w:val="center"/>
            <w:hideMark/>
          </w:tcPr>
          <w:p w14:paraId="2D913D00"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Sistema de referencia del estándar del FGDC-STD-001-1998;</w:t>
            </w:r>
          </w:p>
          <w:p w14:paraId="37DE0563"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Estándar ISO 19115:2003.</w:t>
            </w:r>
          </w:p>
        </w:tc>
        <w:tc>
          <w:tcPr>
            <w:tcW w:w="4961" w:type="dxa"/>
            <w:shd w:val="clear" w:color="auto" w:fill="F2F2F2" w:themeFill="background1" w:themeFillShade="F2"/>
            <w:tcMar>
              <w:top w:w="15" w:type="dxa"/>
              <w:left w:w="54" w:type="dxa"/>
              <w:bottom w:w="0" w:type="dxa"/>
              <w:right w:w="54" w:type="dxa"/>
            </w:tcMar>
            <w:vAlign w:val="center"/>
            <w:hideMark/>
          </w:tcPr>
          <w:p w14:paraId="5B817F61"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Grupos de datos geográficos.</w:t>
            </w:r>
          </w:p>
          <w:p w14:paraId="120092F8" w14:textId="77777777" w:rsidR="00F97296" w:rsidRPr="00296E53" w:rsidRDefault="00F97296" w:rsidP="004C2C1D">
            <w:pPr>
              <w:numPr>
                <w:ilvl w:val="0"/>
                <w:numId w:val="7"/>
              </w:numPr>
              <w:spacing w:after="0" w:line="240" w:lineRule="auto"/>
              <w:ind w:left="361" w:hanging="283"/>
              <w:contextualSpacing/>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Metadatos referenciales (programas)</w:t>
            </w:r>
          </w:p>
          <w:p w14:paraId="3B12E8B2" w14:textId="77777777" w:rsidR="00F97296" w:rsidRPr="00296E53" w:rsidRDefault="00F97296" w:rsidP="004C2C1D">
            <w:pPr>
              <w:numPr>
                <w:ilvl w:val="0"/>
                <w:numId w:val="7"/>
              </w:numPr>
              <w:spacing w:after="0" w:line="240" w:lineRule="auto"/>
              <w:ind w:left="361" w:hanging="283"/>
              <w:contextualSpacing/>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Metadatos estructurales (Productos)</w:t>
            </w:r>
          </w:p>
        </w:tc>
      </w:tr>
      <w:tr w:rsidR="00F97296" w:rsidRPr="00296E53" w14:paraId="29E387D2" w14:textId="77777777" w:rsidTr="00E36538">
        <w:trPr>
          <w:trHeight w:val="20"/>
        </w:trPr>
        <w:tc>
          <w:tcPr>
            <w:tcW w:w="5387" w:type="dxa"/>
            <w:shd w:val="clear" w:color="auto" w:fill="FFFFFF" w:themeFill="background1"/>
            <w:tcMar>
              <w:top w:w="15" w:type="dxa"/>
              <w:left w:w="54" w:type="dxa"/>
              <w:bottom w:w="0" w:type="dxa"/>
              <w:right w:w="54" w:type="dxa"/>
            </w:tcMar>
            <w:vAlign w:val="center"/>
            <w:hideMark/>
          </w:tcPr>
          <w:p w14:paraId="42B15CDE"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Norma técnica para el acceso y publicación de datos abiertos de la información estadística y geográfica de interés nacional.</w:t>
            </w:r>
          </w:p>
        </w:tc>
        <w:tc>
          <w:tcPr>
            <w:tcW w:w="4253" w:type="dxa"/>
            <w:shd w:val="clear" w:color="auto" w:fill="FFFFFF" w:themeFill="background1"/>
            <w:tcMar>
              <w:top w:w="15" w:type="dxa"/>
              <w:left w:w="54" w:type="dxa"/>
              <w:bottom w:w="0" w:type="dxa"/>
              <w:right w:w="54" w:type="dxa"/>
            </w:tcMar>
            <w:vAlign w:val="center"/>
            <w:hideMark/>
          </w:tcPr>
          <w:p w14:paraId="2944847F"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 xml:space="preserve">Data </w:t>
            </w:r>
            <w:proofErr w:type="spellStart"/>
            <w:r w:rsidRPr="00296E53">
              <w:rPr>
                <w:rFonts w:ascii="Century Gothic" w:eastAsia="Helvetica" w:hAnsi="Century Gothic" w:cs="Helvetica"/>
                <w:bCs/>
                <w:color w:val="000000" w:themeColor="text1"/>
                <w:position w:val="1"/>
                <w:sz w:val="16"/>
                <w:szCs w:val="16"/>
                <w:lang w:eastAsia="es-MX"/>
              </w:rPr>
              <w:t>Catalog</w:t>
            </w:r>
            <w:proofErr w:type="spellEnd"/>
            <w:r w:rsidRPr="00296E53">
              <w:rPr>
                <w:rFonts w:ascii="Century Gothic" w:eastAsia="Helvetica" w:hAnsi="Century Gothic" w:cs="Helvetica"/>
                <w:bCs/>
                <w:color w:val="000000" w:themeColor="text1"/>
                <w:position w:val="1"/>
                <w:sz w:val="16"/>
                <w:szCs w:val="16"/>
                <w:lang w:eastAsia="es-MX"/>
              </w:rPr>
              <w:t xml:space="preserve"> </w:t>
            </w:r>
            <w:proofErr w:type="spellStart"/>
            <w:r w:rsidRPr="00296E53">
              <w:rPr>
                <w:rFonts w:ascii="Century Gothic" w:eastAsia="Helvetica" w:hAnsi="Century Gothic" w:cs="Helvetica"/>
                <w:bCs/>
                <w:color w:val="000000" w:themeColor="text1"/>
                <w:position w:val="1"/>
                <w:sz w:val="16"/>
                <w:szCs w:val="16"/>
                <w:lang w:eastAsia="es-MX"/>
              </w:rPr>
              <w:t>Vocabulary</w:t>
            </w:r>
            <w:proofErr w:type="spellEnd"/>
            <w:r w:rsidRPr="00296E53">
              <w:rPr>
                <w:rFonts w:ascii="Century Gothic" w:eastAsia="Helvetica" w:hAnsi="Century Gothic" w:cs="Helvetica"/>
                <w:bCs/>
                <w:color w:val="000000" w:themeColor="text1"/>
                <w:position w:val="1"/>
                <w:sz w:val="16"/>
                <w:szCs w:val="16"/>
                <w:lang w:eastAsia="es-MX"/>
              </w:rPr>
              <w:t xml:space="preserve"> (DCAT).</w:t>
            </w:r>
          </w:p>
        </w:tc>
        <w:tc>
          <w:tcPr>
            <w:tcW w:w="4961" w:type="dxa"/>
            <w:shd w:val="clear" w:color="auto" w:fill="FFFFFF" w:themeFill="background1"/>
            <w:tcMar>
              <w:top w:w="15" w:type="dxa"/>
              <w:left w:w="54" w:type="dxa"/>
              <w:bottom w:w="0" w:type="dxa"/>
              <w:right w:w="54" w:type="dxa"/>
            </w:tcMar>
            <w:vAlign w:val="center"/>
            <w:hideMark/>
          </w:tcPr>
          <w:p w14:paraId="449BB96E"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Conjuntos de datos en formato de datos abiertos.</w:t>
            </w:r>
          </w:p>
          <w:p w14:paraId="25257AC4" w14:textId="77777777" w:rsidR="00F97296" w:rsidRPr="00296E53" w:rsidRDefault="00F97296" w:rsidP="004C2C1D">
            <w:pPr>
              <w:numPr>
                <w:ilvl w:val="0"/>
                <w:numId w:val="8"/>
              </w:numPr>
              <w:spacing w:after="0" w:line="240" w:lineRule="auto"/>
              <w:ind w:left="220" w:hanging="142"/>
              <w:contextualSpacing/>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 Metadatos referenciales (Fuente de Información)</w:t>
            </w:r>
          </w:p>
        </w:tc>
      </w:tr>
    </w:tbl>
    <w:p w14:paraId="18DE5C3B" w14:textId="313107BC" w:rsidR="00F97296" w:rsidRPr="00296E53" w:rsidRDefault="00162C7C" w:rsidP="00F97296">
      <w:pPr>
        <w:spacing w:before="240"/>
        <w:jc w:val="both"/>
        <w:rPr>
          <w:rFonts w:ascii="Century Gothic" w:hAnsi="Century Gothic"/>
          <w:sz w:val="19"/>
          <w:szCs w:val="19"/>
        </w:rPr>
      </w:pPr>
      <w:r w:rsidRPr="00296E53">
        <w:rPr>
          <w:rFonts w:ascii="Century Gothic" w:hAnsi="Century Gothic"/>
          <w:sz w:val="19"/>
          <w:szCs w:val="19"/>
        </w:rPr>
        <w:t xml:space="preserve">Para el cálculo del indicador de accesibilidad se excluyeron </w:t>
      </w:r>
      <w:r w:rsidR="00A47C8A" w:rsidRPr="00296E53">
        <w:rPr>
          <w:rFonts w:ascii="Century Gothic" w:hAnsi="Century Gothic"/>
          <w:sz w:val="19"/>
          <w:szCs w:val="19"/>
        </w:rPr>
        <w:t xml:space="preserve">13 ciclos de </w:t>
      </w:r>
      <w:r w:rsidRPr="00296E53">
        <w:rPr>
          <w:rFonts w:ascii="Century Gothic" w:hAnsi="Century Gothic"/>
          <w:sz w:val="19"/>
          <w:szCs w:val="19"/>
        </w:rPr>
        <w:t>programas de información que cancelaron publicaciones debido a la emergencia sanitaria</w:t>
      </w:r>
      <w:r w:rsidR="009803B1">
        <w:rPr>
          <w:rFonts w:ascii="Century Gothic" w:hAnsi="Century Gothic"/>
          <w:sz w:val="19"/>
          <w:szCs w:val="19"/>
        </w:rPr>
        <w:t>,</w:t>
      </w:r>
      <w:r w:rsidRPr="00296E53">
        <w:rPr>
          <w:rFonts w:ascii="Century Gothic" w:hAnsi="Century Gothic"/>
          <w:sz w:val="19"/>
          <w:szCs w:val="19"/>
        </w:rPr>
        <w:t xml:space="preserve"> así como aquellos que reprogramaron la publicación para después del 31 de diciembre de 2020</w:t>
      </w:r>
      <w:r w:rsidR="00A47C8A" w:rsidRPr="00296E53">
        <w:rPr>
          <w:rFonts w:ascii="Century Gothic" w:hAnsi="Century Gothic"/>
          <w:sz w:val="19"/>
          <w:szCs w:val="19"/>
        </w:rPr>
        <w:t>, así como siete ciclos de programas de Censos Nacionales de Gobierno que se publicaron en el cuarto trimestre de 2020 y cuyos metadatos se comienzan a liberar 60 días hábiles posteriores a la publicación de resultados</w:t>
      </w:r>
      <w:r w:rsidRPr="00296E53">
        <w:rPr>
          <w:rFonts w:ascii="Century Gothic" w:hAnsi="Century Gothic"/>
          <w:sz w:val="19"/>
          <w:szCs w:val="19"/>
        </w:rPr>
        <w:t xml:space="preserve">.  Por otro lado, se incluyeron </w:t>
      </w:r>
      <w:r w:rsidR="00A47C8A" w:rsidRPr="00296E53">
        <w:rPr>
          <w:rFonts w:ascii="Century Gothic" w:hAnsi="Century Gothic"/>
          <w:sz w:val="19"/>
          <w:szCs w:val="19"/>
        </w:rPr>
        <w:t>6</w:t>
      </w:r>
      <w:r w:rsidRPr="00296E53">
        <w:rPr>
          <w:rFonts w:ascii="Century Gothic" w:hAnsi="Century Gothic"/>
          <w:sz w:val="19"/>
          <w:szCs w:val="19"/>
        </w:rPr>
        <w:t xml:space="preserve"> nuevos programas de información que surgieron en 2020 y que publicaron resultados, estos nuevos programas se presentan en el cuadro:</w:t>
      </w:r>
    </w:p>
    <w:p w14:paraId="25850E37" w14:textId="77777777" w:rsidR="00510928" w:rsidRPr="00296E53" w:rsidRDefault="0018148E" w:rsidP="005066F8">
      <w:pPr>
        <w:jc w:val="center"/>
        <w:rPr>
          <w:rFonts w:ascii="Century Gothic" w:hAnsi="Century Gothic"/>
          <w:sz w:val="19"/>
          <w:szCs w:val="19"/>
        </w:rPr>
      </w:pPr>
      <w:r w:rsidRPr="00296E53">
        <w:rPr>
          <w:rFonts w:ascii="Century Gothic" w:hAnsi="Century Gothic" w:cstheme="majorHAnsi"/>
          <w:b/>
          <w:sz w:val="19"/>
          <w:szCs w:val="19"/>
        </w:rPr>
        <w:t>A.</w:t>
      </w:r>
      <w:r w:rsidR="00510928" w:rsidRPr="00296E53">
        <w:rPr>
          <w:rFonts w:ascii="Century Gothic" w:hAnsi="Century Gothic" w:cstheme="majorHAnsi"/>
          <w:b/>
          <w:sz w:val="19"/>
          <w:szCs w:val="19"/>
        </w:rPr>
        <w:t>4.</w:t>
      </w:r>
      <w:r w:rsidRPr="00296E53">
        <w:rPr>
          <w:rFonts w:ascii="Century Gothic" w:hAnsi="Century Gothic" w:cstheme="majorHAnsi"/>
          <w:b/>
          <w:sz w:val="19"/>
          <w:szCs w:val="19"/>
        </w:rPr>
        <w:t>2</w:t>
      </w:r>
      <w:r w:rsidR="00510928" w:rsidRPr="00296E53">
        <w:rPr>
          <w:rFonts w:ascii="Century Gothic" w:hAnsi="Century Gothic" w:cstheme="majorHAnsi"/>
          <w:b/>
          <w:sz w:val="19"/>
          <w:szCs w:val="19"/>
        </w:rPr>
        <w:t xml:space="preserve">. </w:t>
      </w:r>
      <w:r w:rsidRPr="00296E53">
        <w:rPr>
          <w:rFonts w:ascii="Century Gothic" w:hAnsi="Century Gothic" w:cstheme="majorHAnsi"/>
          <w:b/>
          <w:sz w:val="19"/>
          <w:szCs w:val="19"/>
        </w:rPr>
        <w:t>Consideraciones sobre los ciclos de programas incluidos en el cálculo del indicador de accesibilidad</w:t>
      </w:r>
    </w:p>
    <w:tbl>
      <w:tblPr>
        <w:tblStyle w:val="Tablaconcuadrcula"/>
        <w:tblW w:w="0" w:type="auto"/>
        <w:tblLook w:val="04A0" w:firstRow="1" w:lastRow="0" w:firstColumn="1" w:lastColumn="0" w:noHBand="0" w:noVBand="1"/>
      </w:tblPr>
      <w:tblGrid>
        <w:gridCol w:w="5807"/>
        <w:gridCol w:w="5245"/>
        <w:gridCol w:w="3338"/>
      </w:tblGrid>
      <w:tr w:rsidR="00A47C8A" w:rsidRPr="00296E53" w14:paraId="783F45AD" w14:textId="77777777" w:rsidTr="005066F8">
        <w:trPr>
          <w:trHeight w:val="177"/>
          <w:tblHeader/>
        </w:trPr>
        <w:tc>
          <w:tcPr>
            <w:tcW w:w="5807" w:type="dxa"/>
            <w:shd w:val="clear" w:color="auto" w:fill="595959" w:themeFill="text1" w:themeFillTint="A6"/>
          </w:tcPr>
          <w:p w14:paraId="7C7F1218" w14:textId="77777777" w:rsidR="00A47C8A" w:rsidRPr="00296E53" w:rsidRDefault="00A47C8A" w:rsidP="00510928">
            <w:pPr>
              <w:jc w:val="center"/>
              <w:rPr>
                <w:rFonts w:ascii="Century Gothic" w:hAnsi="Century Gothic"/>
                <w:b/>
                <w:bCs/>
                <w:color w:val="FFFFFF" w:themeColor="background1"/>
                <w:sz w:val="16"/>
                <w:szCs w:val="16"/>
              </w:rPr>
            </w:pPr>
            <w:r w:rsidRPr="00296E53">
              <w:rPr>
                <w:rFonts w:ascii="Century Gothic" w:hAnsi="Century Gothic"/>
                <w:b/>
                <w:bCs/>
                <w:color w:val="FFFFFF" w:themeColor="background1"/>
                <w:sz w:val="16"/>
                <w:szCs w:val="16"/>
              </w:rPr>
              <w:t>Ciclos de programas cancelados por la emergencia sanitaria</w:t>
            </w:r>
          </w:p>
        </w:tc>
        <w:tc>
          <w:tcPr>
            <w:tcW w:w="5245" w:type="dxa"/>
            <w:shd w:val="clear" w:color="auto" w:fill="595959" w:themeFill="text1" w:themeFillTint="A6"/>
          </w:tcPr>
          <w:p w14:paraId="31E612D0" w14:textId="77777777" w:rsidR="00A47C8A" w:rsidRPr="00296E53" w:rsidRDefault="00A47C8A" w:rsidP="00510928">
            <w:pPr>
              <w:jc w:val="center"/>
              <w:rPr>
                <w:rFonts w:ascii="Century Gothic" w:hAnsi="Century Gothic"/>
                <w:b/>
                <w:bCs/>
                <w:color w:val="FFFFFF" w:themeColor="background1"/>
                <w:sz w:val="16"/>
                <w:szCs w:val="16"/>
              </w:rPr>
            </w:pPr>
            <w:r w:rsidRPr="00296E53">
              <w:rPr>
                <w:rFonts w:ascii="Century Gothic" w:hAnsi="Century Gothic"/>
                <w:b/>
                <w:bCs/>
                <w:color w:val="FFFFFF" w:themeColor="background1"/>
                <w:sz w:val="16"/>
                <w:szCs w:val="16"/>
              </w:rPr>
              <w:t>Publicaciones del 4° Trimestre de 2020 que comienzan a cargar metadatos 60 días hábiles posteriores.</w:t>
            </w:r>
          </w:p>
        </w:tc>
        <w:tc>
          <w:tcPr>
            <w:tcW w:w="3338" w:type="dxa"/>
            <w:shd w:val="clear" w:color="auto" w:fill="595959" w:themeFill="text1" w:themeFillTint="A6"/>
          </w:tcPr>
          <w:p w14:paraId="626C8536" w14:textId="77777777" w:rsidR="00A47C8A" w:rsidRPr="00296E53" w:rsidRDefault="00A5265F" w:rsidP="00510928">
            <w:pPr>
              <w:jc w:val="center"/>
              <w:rPr>
                <w:rFonts w:ascii="Century Gothic" w:hAnsi="Century Gothic"/>
                <w:b/>
                <w:bCs/>
                <w:color w:val="FFFFFF" w:themeColor="background1"/>
                <w:sz w:val="16"/>
                <w:szCs w:val="16"/>
              </w:rPr>
            </w:pPr>
            <w:r w:rsidRPr="00296E53">
              <w:rPr>
                <w:rFonts w:ascii="Century Gothic" w:hAnsi="Century Gothic"/>
                <w:b/>
                <w:bCs/>
                <w:color w:val="FFFFFF" w:themeColor="background1"/>
                <w:sz w:val="16"/>
                <w:szCs w:val="16"/>
              </w:rPr>
              <w:t>Programas nuevos</w:t>
            </w:r>
          </w:p>
        </w:tc>
      </w:tr>
      <w:tr w:rsidR="00A47C8A" w:rsidRPr="00296E53" w14:paraId="034E2F94" w14:textId="77777777" w:rsidTr="00510928">
        <w:tc>
          <w:tcPr>
            <w:tcW w:w="5807" w:type="dxa"/>
          </w:tcPr>
          <w:p w14:paraId="2E60EE9E"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 xml:space="preserve">Censo de Población y Vivienda 2020. </w:t>
            </w:r>
          </w:p>
          <w:p w14:paraId="57AEE51C"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de Ocupación y Empleo (ENOE) 2020-II</w:t>
            </w:r>
          </w:p>
          <w:p w14:paraId="6B984879"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de Ocupación y Empleo (ENOE) 2020-III</w:t>
            </w:r>
          </w:p>
          <w:p w14:paraId="4C2139F9"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sobre Confianza del Consumidor - ENCO. 2020-4</w:t>
            </w:r>
          </w:p>
          <w:p w14:paraId="31B9F494"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sobre Confianza del Consumidor - ENCO. 2020-5</w:t>
            </w:r>
          </w:p>
          <w:p w14:paraId="45E8938D"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sobre Confianza del Consumidor - ENCO. 2020-6</w:t>
            </w:r>
          </w:p>
          <w:p w14:paraId="0671747F"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sobre Confianza del Consumidor - ENCO. 2020-7</w:t>
            </w:r>
          </w:p>
          <w:p w14:paraId="498EF1AB"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de Seguridad Pública Urbana (ENSU) 2020-II</w:t>
            </w:r>
          </w:p>
          <w:p w14:paraId="0BDA1C8B"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Procuración de Justicia Federal (CNPJF), 2020</w:t>
            </w:r>
          </w:p>
          <w:p w14:paraId="4985B7CB" w14:textId="3695E76A"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Sistema Penitenciario Federal (</w:t>
            </w:r>
            <w:r w:rsidR="006E4CAF" w:rsidRPr="00296E53">
              <w:rPr>
                <w:rFonts w:ascii="Century Gothic" w:eastAsia="Times New Roman" w:hAnsi="Century Gothic" w:cs="Arial"/>
                <w:sz w:val="16"/>
                <w:szCs w:val="16"/>
              </w:rPr>
              <w:t>CNSIPEF</w:t>
            </w:r>
            <w:r w:rsidRPr="00296E53">
              <w:rPr>
                <w:rFonts w:ascii="Century Gothic" w:eastAsia="Times New Roman" w:hAnsi="Century Gothic" w:cs="Arial"/>
                <w:sz w:val="16"/>
                <w:szCs w:val="16"/>
              </w:rPr>
              <w:t>), 2020</w:t>
            </w:r>
          </w:p>
          <w:p w14:paraId="64D341CD" w14:textId="3D247616" w:rsidR="00A47C8A" w:rsidRPr="00296E53" w:rsidRDefault="00A47C8A" w:rsidP="000070EC">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 xml:space="preserve">Módulo de Bienestar </w:t>
            </w:r>
            <w:proofErr w:type="spellStart"/>
            <w:r w:rsidRPr="00296E53">
              <w:rPr>
                <w:rFonts w:ascii="Century Gothic" w:eastAsia="Times New Roman" w:hAnsi="Century Gothic" w:cs="Arial"/>
                <w:sz w:val="16"/>
                <w:szCs w:val="16"/>
              </w:rPr>
              <w:t>Autorreportado</w:t>
            </w:r>
            <w:proofErr w:type="spellEnd"/>
            <w:r w:rsidRPr="00296E53">
              <w:rPr>
                <w:rFonts w:ascii="Century Gothic" w:eastAsia="Times New Roman" w:hAnsi="Century Gothic" w:cs="Arial"/>
                <w:sz w:val="16"/>
                <w:szCs w:val="16"/>
              </w:rPr>
              <w:t xml:space="preserve"> de la Población Urbana 2020 (julio)</w:t>
            </w:r>
          </w:p>
        </w:tc>
        <w:tc>
          <w:tcPr>
            <w:tcW w:w="5245" w:type="dxa"/>
          </w:tcPr>
          <w:p w14:paraId="179053CE"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Gobierno, Seguridad Pública y Sistema Penitenciario Estatales (CNGSPSPE), 2020</w:t>
            </w:r>
          </w:p>
          <w:p w14:paraId="16EBC2C1"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Impartición de Justicia Estatal (CNIJE), 2020</w:t>
            </w:r>
          </w:p>
          <w:p w14:paraId="6D9B3370"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Procuración de Justicia Estatal (CNPJE), 2020</w:t>
            </w:r>
          </w:p>
          <w:p w14:paraId="76113AE8"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Transparencia, Acceso a la Información Pública y Protección de Datos Personales Estatal (CNTAIPPDPE), 2020</w:t>
            </w:r>
          </w:p>
          <w:p w14:paraId="0E0DD3CA"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Transparencia, Acceso a la Información Pública y Protección de Datos Personales Federal (CNTAIPPDPF), 2020</w:t>
            </w:r>
          </w:p>
          <w:p w14:paraId="4382A973"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Derechos Humanos Estatal (CNDHE), 2020</w:t>
            </w:r>
          </w:p>
          <w:p w14:paraId="06AB7C0B"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Poderes Legislativos Estatal (CNPLE), 2020</w:t>
            </w:r>
          </w:p>
        </w:tc>
        <w:tc>
          <w:tcPr>
            <w:tcW w:w="3338" w:type="dxa"/>
          </w:tcPr>
          <w:p w14:paraId="7BC26E9C" w14:textId="77777777" w:rsidR="00A5265F" w:rsidRPr="00296E53"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Recopilación de Información de los Cementerios Públicos en las Zonas Metropolitanas del País (si publicaron metadatos)</w:t>
            </w:r>
          </w:p>
          <w:p w14:paraId="6D1A54D9" w14:textId="77777777" w:rsidR="00A5265F" w:rsidRPr="00296E53"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de Agencias Funerarias ante COVID-19 2020</w:t>
            </w:r>
          </w:p>
          <w:p w14:paraId="2636048A" w14:textId="77777777" w:rsidR="00A5265F" w:rsidRPr="00296E53"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sobre el Impacto Económico Generado por COVID-19 en las Empresas 2020</w:t>
            </w:r>
          </w:p>
          <w:p w14:paraId="0158F7C8" w14:textId="77777777" w:rsidR="00A5265F" w:rsidRPr="00296E53"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Telefónica de Ocupación y Empleo 2020</w:t>
            </w:r>
          </w:p>
          <w:p w14:paraId="4D26585F" w14:textId="77777777" w:rsidR="00A5265F" w:rsidRPr="00296E53"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Telefónica sobre Confianza del Consumidor 2020</w:t>
            </w:r>
          </w:p>
          <w:p w14:paraId="53190E80" w14:textId="77777777" w:rsidR="00A47C8A" w:rsidRPr="00296E53" w:rsidRDefault="00A5265F" w:rsidP="00A5265F">
            <w:pPr>
              <w:pStyle w:val="Prrafodelista"/>
              <w:numPr>
                <w:ilvl w:val="0"/>
                <w:numId w:val="21"/>
              </w:numPr>
              <w:ind w:left="315"/>
              <w:contextualSpacing w:val="0"/>
              <w:rPr>
                <w:rFonts w:ascii="Century Gothic" w:hAnsi="Century Gothic"/>
                <w:sz w:val="16"/>
                <w:szCs w:val="16"/>
              </w:rPr>
            </w:pPr>
            <w:r w:rsidRPr="00296E53">
              <w:rPr>
                <w:rFonts w:ascii="Century Gothic" w:eastAsia="Times New Roman" w:hAnsi="Century Gothic" w:cs="Arial"/>
                <w:sz w:val="16"/>
                <w:szCs w:val="16"/>
              </w:rPr>
              <w:t>Encuesta Telefónica sobre COVID-19 y Mercado Laboral 2020</w:t>
            </w:r>
          </w:p>
        </w:tc>
      </w:tr>
    </w:tbl>
    <w:p w14:paraId="6983E388" w14:textId="77777777" w:rsidR="00A47C8A" w:rsidRPr="00296E53" w:rsidRDefault="00A47C8A" w:rsidP="00F97296">
      <w:pPr>
        <w:spacing w:before="240"/>
        <w:jc w:val="both"/>
        <w:rPr>
          <w:rFonts w:ascii="Century Gothic" w:hAnsi="Century Gothic"/>
          <w:sz w:val="19"/>
          <w:szCs w:val="19"/>
        </w:rPr>
      </w:pPr>
    </w:p>
    <w:p w14:paraId="03BCBD0B" w14:textId="77777777" w:rsidR="00162C7C" w:rsidRPr="00296E53" w:rsidRDefault="00162C7C" w:rsidP="00F97296">
      <w:pPr>
        <w:spacing w:before="240"/>
        <w:jc w:val="both"/>
        <w:rPr>
          <w:rFonts w:ascii="Century Gothic" w:hAnsi="Century Gothic"/>
          <w:sz w:val="19"/>
          <w:szCs w:val="19"/>
        </w:rPr>
      </w:pPr>
      <w:r w:rsidRPr="00296E53">
        <w:rPr>
          <w:rFonts w:ascii="Century Gothic" w:hAnsi="Century Gothic"/>
          <w:sz w:val="19"/>
          <w:szCs w:val="19"/>
        </w:rPr>
        <w:t xml:space="preserve">Durante 2020 se publicaron 365 entregas de resultados (excluyendo indicadores de coyuntura) de los ciclos programas de información estadística y geográfica, este es el universo para el cálculo del indicador de accesibilidad.  </w:t>
      </w:r>
    </w:p>
    <w:p w14:paraId="7AACF0EF" w14:textId="77777777" w:rsidR="00F97296" w:rsidRPr="00296E53" w:rsidRDefault="00445540" w:rsidP="00517E8F">
      <w:pPr>
        <w:spacing w:after="0"/>
        <w:jc w:val="center"/>
        <w:rPr>
          <w:rFonts w:ascii="Century Gothic" w:hAnsi="Century Gothic" w:cstheme="majorHAnsi"/>
          <w:b/>
          <w:sz w:val="19"/>
          <w:szCs w:val="19"/>
        </w:rPr>
      </w:pPr>
      <w:r w:rsidRPr="00296E53">
        <w:rPr>
          <w:rFonts w:ascii="Century Gothic" w:hAnsi="Century Gothic" w:cstheme="majorHAnsi"/>
          <w:b/>
          <w:sz w:val="19"/>
          <w:szCs w:val="19"/>
        </w:rPr>
        <w:t>A.</w:t>
      </w:r>
      <w:r w:rsidR="00517E8F" w:rsidRPr="00296E53">
        <w:rPr>
          <w:rFonts w:ascii="Century Gothic" w:hAnsi="Century Gothic" w:cstheme="majorHAnsi"/>
          <w:b/>
          <w:sz w:val="19"/>
          <w:szCs w:val="19"/>
        </w:rPr>
        <w:t>4</w:t>
      </w:r>
      <w:r w:rsidR="00F97296" w:rsidRPr="00296E53">
        <w:rPr>
          <w:rFonts w:ascii="Century Gothic" w:hAnsi="Century Gothic" w:cstheme="majorHAnsi"/>
          <w:b/>
          <w:sz w:val="19"/>
          <w:szCs w:val="19"/>
        </w:rPr>
        <w:t>.</w:t>
      </w:r>
      <w:r w:rsidRPr="00296E53">
        <w:rPr>
          <w:rFonts w:ascii="Century Gothic" w:hAnsi="Century Gothic" w:cstheme="majorHAnsi"/>
          <w:b/>
          <w:sz w:val="19"/>
          <w:szCs w:val="19"/>
        </w:rPr>
        <w:t>3</w:t>
      </w:r>
      <w:r w:rsidR="00F97296" w:rsidRPr="00296E53">
        <w:rPr>
          <w:rFonts w:ascii="Century Gothic" w:hAnsi="Century Gothic" w:cstheme="majorHAnsi"/>
          <w:b/>
          <w:sz w:val="19"/>
          <w:szCs w:val="19"/>
        </w:rPr>
        <w:t>. Ciclos de programa que cuentan con metadatos basados en estándares internacionales</w:t>
      </w:r>
    </w:p>
    <w:tbl>
      <w:tblPr>
        <w:tblW w:w="14459" w:type="dxa"/>
        <w:tblCellMar>
          <w:left w:w="70" w:type="dxa"/>
          <w:right w:w="70" w:type="dxa"/>
        </w:tblCellMar>
        <w:tblLook w:val="04A0" w:firstRow="1" w:lastRow="0" w:firstColumn="1" w:lastColumn="0" w:noHBand="0" w:noVBand="1"/>
      </w:tblPr>
      <w:tblGrid>
        <w:gridCol w:w="13183"/>
        <w:gridCol w:w="567"/>
        <w:gridCol w:w="709"/>
      </w:tblGrid>
      <w:tr w:rsidR="00F97296" w:rsidRPr="00296E53" w14:paraId="382D2624" w14:textId="77777777" w:rsidTr="00ED7FE5">
        <w:trPr>
          <w:trHeight w:val="20"/>
        </w:trPr>
        <w:tc>
          <w:tcPr>
            <w:tcW w:w="13183" w:type="dxa"/>
            <w:tcBorders>
              <w:bottom w:val="single" w:sz="4" w:space="0" w:color="auto"/>
            </w:tcBorders>
            <w:vAlign w:val="center"/>
            <w:hideMark/>
          </w:tcPr>
          <w:p w14:paraId="57A40BE4" w14:textId="77777777" w:rsidR="00F97296" w:rsidRPr="00296E53" w:rsidRDefault="00F97296" w:rsidP="00D256F6">
            <w:pPr>
              <w:spacing w:before="60" w:after="60"/>
              <w:rPr>
                <w:rFonts w:ascii="Century Gothic" w:hAnsi="Century Gothic"/>
                <w:sz w:val="16"/>
                <w:szCs w:val="16"/>
              </w:rPr>
            </w:pPr>
          </w:p>
        </w:tc>
        <w:tc>
          <w:tcPr>
            <w:tcW w:w="567" w:type="dxa"/>
            <w:tcBorders>
              <w:top w:val="single" w:sz="4" w:space="0" w:color="F2F2F2" w:themeColor="background1" w:themeShade="F2"/>
              <w:left w:val="nil"/>
              <w:bottom w:val="single" w:sz="4" w:space="0" w:color="auto"/>
              <w:right w:val="single" w:sz="4" w:space="0" w:color="F2F2F2" w:themeColor="background1" w:themeShade="F2"/>
            </w:tcBorders>
            <w:shd w:val="clear" w:color="auto" w:fill="3B3838" w:themeFill="background2" w:themeFillShade="40"/>
            <w:vAlign w:val="center"/>
            <w:hideMark/>
          </w:tcPr>
          <w:p w14:paraId="4B690876" w14:textId="77777777" w:rsidR="00F97296" w:rsidRPr="00296E53" w:rsidRDefault="00F97296" w:rsidP="00D256F6">
            <w:pPr>
              <w:spacing w:before="60" w:after="60"/>
              <w:jc w:val="center"/>
              <w:rPr>
                <w:rFonts w:ascii="Century Gothic" w:hAnsi="Century Gothic"/>
                <w:b/>
                <w:bCs/>
                <w:sz w:val="16"/>
                <w:szCs w:val="16"/>
              </w:rPr>
            </w:pPr>
            <w:r w:rsidRPr="00296E53">
              <w:rPr>
                <w:rFonts w:ascii="Century Gothic" w:hAnsi="Century Gothic"/>
                <w:b/>
                <w:bCs/>
                <w:sz w:val="16"/>
                <w:szCs w:val="16"/>
              </w:rPr>
              <w:t>#</w:t>
            </w:r>
          </w:p>
        </w:tc>
        <w:tc>
          <w:tcPr>
            <w:tcW w:w="709" w:type="dxa"/>
            <w:tcBorders>
              <w:top w:val="single" w:sz="4" w:space="0" w:color="F2F2F2" w:themeColor="background1" w:themeShade="F2"/>
              <w:left w:val="single" w:sz="4" w:space="0" w:color="F2F2F2" w:themeColor="background1" w:themeShade="F2"/>
              <w:bottom w:val="single" w:sz="4" w:space="0" w:color="auto"/>
              <w:right w:val="single" w:sz="4" w:space="0" w:color="F2F2F2" w:themeColor="background1" w:themeShade="F2"/>
            </w:tcBorders>
            <w:shd w:val="clear" w:color="auto" w:fill="3B3838" w:themeFill="background2" w:themeFillShade="40"/>
            <w:vAlign w:val="center"/>
            <w:hideMark/>
          </w:tcPr>
          <w:p w14:paraId="17768085" w14:textId="77777777" w:rsidR="00F97296" w:rsidRPr="00296E53" w:rsidRDefault="00F97296" w:rsidP="00D256F6">
            <w:pPr>
              <w:spacing w:before="60" w:after="60"/>
              <w:jc w:val="center"/>
              <w:rPr>
                <w:rFonts w:ascii="Century Gothic" w:hAnsi="Century Gothic"/>
                <w:b/>
                <w:bCs/>
                <w:sz w:val="16"/>
                <w:szCs w:val="16"/>
              </w:rPr>
            </w:pPr>
            <w:r w:rsidRPr="00296E53">
              <w:rPr>
                <w:rFonts w:ascii="Century Gothic" w:hAnsi="Century Gothic"/>
                <w:b/>
                <w:bCs/>
                <w:sz w:val="16"/>
                <w:szCs w:val="16"/>
              </w:rPr>
              <w:t>%</w:t>
            </w:r>
          </w:p>
        </w:tc>
      </w:tr>
      <w:tr w:rsidR="00F97296" w:rsidRPr="00296E53" w14:paraId="4D165DFB" w14:textId="77777777" w:rsidTr="00ED7FE5">
        <w:trPr>
          <w:trHeight w:val="20"/>
        </w:trPr>
        <w:tc>
          <w:tcPr>
            <w:tcW w:w="13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CF2EB" w14:textId="77777777" w:rsidR="00F97296" w:rsidRPr="00296E53" w:rsidRDefault="00F97296" w:rsidP="00D256F6">
            <w:pPr>
              <w:spacing w:before="60" w:after="60"/>
              <w:ind w:left="73"/>
              <w:rPr>
                <w:rFonts w:ascii="Century Gothic" w:hAnsi="Century Gothic"/>
                <w:bCs/>
                <w:sz w:val="16"/>
                <w:szCs w:val="16"/>
              </w:rPr>
            </w:pPr>
            <w:proofErr w:type="gramStart"/>
            <w:r w:rsidRPr="00296E53">
              <w:rPr>
                <w:rFonts w:ascii="Century Gothic" w:hAnsi="Century Gothic"/>
                <w:bCs/>
                <w:sz w:val="16"/>
                <w:szCs w:val="16"/>
              </w:rPr>
              <w:t>Total</w:t>
            </w:r>
            <w:proofErr w:type="gramEnd"/>
            <w:r w:rsidRPr="00296E53">
              <w:rPr>
                <w:rFonts w:ascii="Century Gothic" w:hAnsi="Century Gothic"/>
                <w:bCs/>
                <w:sz w:val="16"/>
                <w:szCs w:val="16"/>
              </w:rPr>
              <w:t xml:space="preserve"> de ciclos de Programas de Información que se publicaron durante 2020 </w:t>
            </w:r>
            <w:r w:rsidRPr="00296E53">
              <w:rPr>
                <w:rFonts w:ascii="Century Gothic" w:hAnsi="Century Gothic"/>
                <w:bCs/>
                <w:sz w:val="16"/>
                <w:szCs w:val="16"/>
                <w:vertAlign w:val="superscript"/>
              </w:rPr>
              <w:t xml:space="preserve">a/ </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C9FF1EB" w14:textId="55B900F4" w:rsidR="00F97296" w:rsidRPr="00296E53" w:rsidRDefault="00F97296" w:rsidP="00D256F6">
            <w:pPr>
              <w:spacing w:after="0"/>
              <w:jc w:val="center"/>
              <w:rPr>
                <w:rFonts w:ascii="Century Gothic" w:hAnsi="Century Gothic"/>
                <w:bCs/>
                <w:color w:val="000000" w:themeColor="text1"/>
                <w:sz w:val="16"/>
                <w:szCs w:val="20"/>
              </w:rPr>
            </w:pPr>
            <w:r w:rsidRPr="00296E53">
              <w:rPr>
                <w:rFonts w:ascii="Century Gothic" w:hAnsi="Century Gothic"/>
                <w:bCs/>
                <w:color w:val="000000" w:themeColor="text1"/>
                <w:sz w:val="16"/>
                <w:szCs w:val="20"/>
              </w:rPr>
              <w:t>3</w:t>
            </w:r>
            <w:r w:rsidR="00554A34" w:rsidRPr="00296E53">
              <w:rPr>
                <w:rFonts w:ascii="Century Gothic" w:hAnsi="Century Gothic"/>
                <w:bCs/>
                <w:color w:val="000000" w:themeColor="text1"/>
                <w:sz w:val="16"/>
                <w:szCs w:val="20"/>
              </w:rPr>
              <w:t>53</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10A853" w14:textId="77777777" w:rsidR="00F97296" w:rsidRPr="00296E53" w:rsidRDefault="00F97296" w:rsidP="00D256F6">
            <w:pPr>
              <w:spacing w:after="0"/>
              <w:jc w:val="center"/>
              <w:rPr>
                <w:rFonts w:ascii="Century Gothic" w:hAnsi="Century Gothic"/>
                <w:b/>
                <w:bCs/>
                <w:color w:val="000000" w:themeColor="text1"/>
                <w:sz w:val="16"/>
                <w:szCs w:val="20"/>
              </w:rPr>
            </w:pPr>
            <w:r w:rsidRPr="00296E53">
              <w:rPr>
                <w:rFonts w:ascii="Century Gothic" w:hAnsi="Century Gothic"/>
                <w:b/>
                <w:bCs/>
                <w:color w:val="000000" w:themeColor="text1"/>
                <w:sz w:val="16"/>
                <w:szCs w:val="20"/>
              </w:rPr>
              <w:t xml:space="preserve">100% </w:t>
            </w:r>
          </w:p>
        </w:tc>
      </w:tr>
      <w:tr w:rsidR="00F97296" w:rsidRPr="00296E53" w14:paraId="3DD3EBFA" w14:textId="77777777" w:rsidTr="00ED7FE5">
        <w:trPr>
          <w:trHeight w:val="20"/>
        </w:trPr>
        <w:tc>
          <w:tcPr>
            <w:tcW w:w="13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203A40" w14:textId="77777777" w:rsidR="00F97296" w:rsidRPr="00296E53" w:rsidRDefault="00F97296" w:rsidP="00D256F6">
            <w:pPr>
              <w:spacing w:before="60" w:after="60"/>
              <w:ind w:left="73"/>
              <w:rPr>
                <w:rFonts w:ascii="Century Gothic" w:hAnsi="Century Gothic"/>
                <w:bCs/>
                <w:sz w:val="16"/>
                <w:szCs w:val="16"/>
              </w:rPr>
            </w:pPr>
            <w:r w:rsidRPr="00296E53">
              <w:rPr>
                <w:rFonts w:ascii="Century Gothic" w:hAnsi="Century Gothic"/>
                <w:bCs/>
                <w:sz w:val="16"/>
                <w:szCs w:val="16"/>
              </w:rPr>
              <w:t xml:space="preserve">Ciclos de Programas de Información que acompañaron la publicación de resultados con metadatos estandarizados </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67A1CF" w14:textId="77777777" w:rsidR="00F97296" w:rsidRPr="00296E53" w:rsidRDefault="00F97296" w:rsidP="00D256F6">
            <w:pPr>
              <w:spacing w:after="0"/>
              <w:jc w:val="center"/>
              <w:rPr>
                <w:rFonts w:ascii="Century Gothic" w:hAnsi="Century Gothic"/>
                <w:bCs/>
                <w:color w:val="000000" w:themeColor="text1"/>
                <w:sz w:val="16"/>
                <w:szCs w:val="20"/>
              </w:rPr>
            </w:pPr>
            <w:r w:rsidRPr="00296E53">
              <w:rPr>
                <w:rFonts w:ascii="Century Gothic" w:hAnsi="Century Gothic"/>
                <w:bCs/>
                <w:color w:val="000000" w:themeColor="text1"/>
                <w:sz w:val="16"/>
                <w:szCs w:val="20"/>
              </w:rPr>
              <w:t>290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B76614" w14:textId="7A7A9227" w:rsidR="00F97296" w:rsidRPr="00296E53" w:rsidRDefault="00554A34" w:rsidP="00D256F6">
            <w:pPr>
              <w:spacing w:after="0"/>
              <w:jc w:val="center"/>
              <w:rPr>
                <w:rFonts w:ascii="Century Gothic" w:hAnsi="Century Gothic"/>
                <w:b/>
                <w:bCs/>
                <w:color w:val="000000" w:themeColor="text1"/>
                <w:sz w:val="16"/>
                <w:szCs w:val="20"/>
              </w:rPr>
            </w:pPr>
            <w:r w:rsidRPr="00296E53">
              <w:rPr>
                <w:rFonts w:ascii="Century Gothic" w:hAnsi="Century Gothic"/>
                <w:b/>
                <w:bCs/>
                <w:color w:val="000000" w:themeColor="text1"/>
                <w:sz w:val="16"/>
                <w:szCs w:val="20"/>
              </w:rPr>
              <w:t>82</w:t>
            </w:r>
            <w:r w:rsidR="00F97296" w:rsidRPr="00296E53">
              <w:rPr>
                <w:rFonts w:ascii="Century Gothic" w:hAnsi="Century Gothic"/>
                <w:b/>
                <w:bCs/>
                <w:color w:val="000000" w:themeColor="text1"/>
                <w:sz w:val="16"/>
                <w:szCs w:val="20"/>
              </w:rPr>
              <w:t>%</w:t>
            </w:r>
          </w:p>
        </w:tc>
      </w:tr>
      <w:tr w:rsidR="00F97296" w:rsidRPr="00296E53" w14:paraId="040687BB" w14:textId="77777777" w:rsidTr="00ED7FE5">
        <w:trPr>
          <w:trHeight w:val="20"/>
        </w:trPr>
        <w:tc>
          <w:tcPr>
            <w:tcW w:w="13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10A014" w14:textId="77777777" w:rsidR="00F97296" w:rsidRPr="00296E53" w:rsidRDefault="00F97296" w:rsidP="00D256F6">
            <w:pPr>
              <w:spacing w:before="60" w:after="60"/>
              <w:ind w:left="73"/>
              <w:rPr>
                <w:rFonts w:ascii="Century Gothic" w:hAnsi="Century Gothic"/>
                <w:bCs/>
                <w:sz w:val="16"/>
                <w:szCs w:val="16"/>
              </w:rPr>
            </w:pPr>
            <w:r w:rsidRPr="00296E53">
              <w:rPr>
                <w:rFonts w:ascii="Century Gothic" w:hAnsi="Century Gothic"/>
                <w:bCs/>
                <w:sz w:val="16"/>
                <w:szCs w:val="16"/>
              </w:rPr>
              <w:t>Ciclos de Programas de Información que no acompañaron la publicación de sus resultados con metadatos documentados con base en un estándar internacional</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D9D2F7" w14:textId="750AF1B5" w:rsidR="00F97296" w:rsidRPr="00296E53" w:rsidRDefault="00554A34" w:rsidP="00D256F6">
            <w:pPr>
              <w:spacing w:after="0"/>
              <w:jc w:val="center"/>
              <w:rPr>
                <w:rFonts w:ascii="Century Gothic" w:hAnsi="Century Gothic"/>
                <w:bCs/>
                <w:color w:val="000000" w:themeColor="text1"/>
                <w:sz w:val="16"/>
              </w:rPr>
            </w:pPr>
            <w:r w:rsidRPr="00296E53">
              <w:rPr>
                <w:rFonts w:ascii="Century Gothic" w:hAnsi="Century Gothic"/>
                <w:bCs/>
                <w:color w:val="000000" w:themeColor="text1"/>
                <w:sz w:val="16"/>
              </w:rPr>
              <w:t>63</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7F344F" w14:textId="14248A5A" w:rsidR="00F97296" w:rsidRPr="00296E53" w:rsidRDefault="00554A34" w:rsidP="00D256F6">
            <w:pPr>
              <w:spacing w:after="0"/>
              <w:jc w:val="center"/>
              <w:rPr>
                <w:rFonts w:ascii="Century Gothic" w:hAnsi="Century Gothic"/>
                <w:b/>
                <w:bCs/>
                <w:color w:val="000000" w:themeColor="text1"/>
                <w:sz w:val="16"/>
              </w:rPr>
            </w:pPr>
            <w:r w:rsidRPr="00296E53">
              <w:rPr>
                <w:rFonts w:ascii="Century Gothic" w:hAnsi="Century Gothic"/>
                <w:b/>
                <w:bCs/>
                <w:color w:val="000000" w:themeColor="text1"/>
                <w:sz w:val="16"/>
              </w:rPr>
              <w:t>18</w:t>
            </w:r>
            <w:r w:rsidR="00F97296" w:rsidRPr="00296E53">
              <w:rPr>
                <w:rFonts w:ascii="Century Gothic" w:hAnsi="Century Gothic"/>
                <w:b/>
                <w:bCs/>
                <w:color w:val="000000" w:themeColor="text1"/>
                <w:sz w:val="16"/>
              </w:rPr>
              <w:t>%</w:t>
            </w:r>
          </w:p>
        </w:tc>
      </w:tr>
      <w:tr w:rsidR="00F97296" w:rsidRPr="00296E53" w14:paraId="369653EC" w14:textId="77777777" w:rsidTr="00ED7FE5">
        <w:trPr>
          <w:trHeight w:val="20"/>
        </w:trPr>
        <w:tc>
          <w:tcPr>
            <w:tcW w:w="14459" w:type="dxa"/>
            <w:gridSpan w:val="3"/>
            <w:tcBorders>
              <w:top w:val="single" w:sz="4" w:space="0" w:color="auto"/>
            </w:tcBorders>
            <w:shd w:val="clear" w:color="auto" w:fill="FFFFFF" w:themeFill="background1"/>
            <w:vAlign w:val="center"/>
          </w:tcPr>
          <w:p w14:paraId="0991B9EC" w14:textId="77777777" w:rsidR="00F97296" w:rsidRPr="00296E53" w:rsidRDefault="00F97296" w:rsidP="00D256F6">
            <w:pPr>
              <w:spacing w:after="0"/>
              <w:rPr>
                <w:rFonts w:ascii="Century Gothic" w:hAnsi="Century Gothic"/>
                <w:color w:val="000000" w:themeColor="text1"/>
                <w:sz w:val="14"/>
                <w:szCs w:val="14"/>
              </w:rPr>
            </w:pPr>
            <w:r w:rsidRPr="00296E53">
              <w:rPr>
                <w:rFonts w:ascii="Century Gothic" w:hAnsi="Century Gothic"/>
                <w:color w:val="000000" w:themeColor="text1"/>
                <w:sz w:val="14"/>
                <w:szCs w:val="14"/>
              </w:rPr>
              <w:t>a/</w:t>
            </w:r>
            <w:r w:rsidR="00707511" w:rsidRPr="00296E53">
              <w:rPr>
                <w:rFonts w:ascii="Century Gothic" w:hAnsi="Century Gothic"/>
                <w:color w:val="000000" w:themeColor="text1"/>
                <w:sz w:val="14"/>
                <w:szCs w:val="14"/>
              </w:rPr>
              <w:t xml:space="preserve"> Excluye la publicación de resultados de siete ciclos de Programa de Censos Nacionales de Gobierno publicados ente octubre y diciembre de 2020, debido a que los metadatos de dichos programas se comienzan a liberar 60 días hábiles posteriores a la publicación</w:t>
            </w:r>
          </w:p>
        </w:tc>
      </w:tr>
    </w:tbl>
    <w:p w14:paraId="401E5F9F" w14:textId="3D50536C" w:rsidR="00F97296" w:rsidRPr="00296E53" w:rsidRDefault="00F97296" w:rsidP="00F97296">
      <w:pPr>
        <w:spacing w:before="240"/>
        <w:jc w:val="both"/>
        <w:rPr>
          <w:rFonts w:ascii="Century Gothic" w:hAnsi="Century Gothic"/>
          <w:sz w:val="19"/>
          <w:szCs w:val="19"/>
        </w:rPr>
      </w:pPr>
      <w:r w:rsidRPr="00296E53">
        <w:rPr>
          <w:rFonts w:ascii="Century Gothic" w:hAnsi="Century Gothic"/>
          <w:sz w:val="19"/>
          <w:szCs w:val="19"/>
        </w:rPr>
        <w:t xml:space="preserve">En 2020, el </w:t>
      </w:r>
      <w:r w:rsidR="009406DF" w:rsidRPr="00296E53">
        <w:rPr>
          <w:rFonts w:ascii="Century Gothic" w:hAnsi="Century Gothic"/>
          <w:sz w:val="19"/>
          <w:szCs w:val="19"/>
        </w:rPr>
        <w:t>82</w:t>
      </w:r>
      <w:r w:rsidRPr="00296E53">
        <w:rPr>
          <w:rFonts w:ascii="Century Gothic" w:hAnsi="Century Gothic"/>
          <w:sz w:val="19"/>
          <w:szCs w:val="19"/>
        </w:rPr>
        <w:t xml:space="preserve">% de los programas de información estadística y geográfica publicados en el sitio del INEGI en Internet, publicaron resultados acompañados con metadatos documentados con base en estándares internacionales. En </w:t>
      </w:r>
      <w:bookmarkStart w:id="21" w:name="_Hlk31026606"/>
      <w:r w:rsidRPr="00296E53">
        <w:rPr>
          <w:rFonts w:ascii="Century Gothic" w:hAnsi="Century Gothic"/>
          <w:sz w:val="19"/>
          <w:szCs w:val="19"/>
        </w:rPr>
        <w:t xml:space="preserve">el </w:t>
      </w:r>
      <w:r w:rsidR="009406DF" w:rsidRPr="00296E53">
        <w:rPr>
          <w:rFonts w:ascii="Century Gothic" w:hAnsi="Century Gothic"/>
          <w:sz w:val="19"/>
          <w:szCs w:val="19"/>
        </w:rPr>
        <w:t>18</w:t>
      </w:r>
      <w:r w:rsidRPr="00296E53">
        <w:rPr>
          <w:rFonts w:ascii="Century Gothic" w:hAnsi="Century Gothic"/>
          <w:sz w:val="19"/>
          <w:szCs w:val="19"/>
        </w:rPr>
        <w:t xml:space="preserve">% restante corresponde a </w:t>
      </w:r>
      <w:r w:rsidR="009406DF" w:rsidRPr="00296E53">
        <w:rPr>
          <w:rFonts w:ascii="Century Gothic" w:hAnsi="Century Gothic"/>
          <w:sz w:val="19"/>
          <w:szCs w:val="19"/>
        </w:rPr>
        <w:t>63</w:t>
      </w:r>
      <w:r w:rsidRPr="00296E53">
        <w:rPr>
          <w:rFonts w:ascii="Century Gothic" w:hAnsi="Century Gothic"/>
          <w:sz w:val="19"/>
          <w:szCs w:val="19"/>
        </w:rPr>
        <w:t xml:space="preserve"> ciclos de Programas de Información que no acompañaron la publicación de sus resultados, con metadatos documentados con base en alguno de los estándares internacionales que actualmente se han adoptado en el INEG</w:t>
      </w:r>
      <w:bookmarkEnd w:id="21"/>
      <w:r w:rsidRPr="00296E53">
        <w:rPr>
          <w:rFonts w:ascii="Century Gothic" w:hAnsi="Century Gothic"/>
          <w:sz w:val="19"/>
          <w:szCs w:val="19"/>
        </w:rPr>
        <w:t>I, como puede observarse en el siguiente cuadro:</w:t>
      </w:r>
    </w:p>
    <w:p w14:paraId="68473D43" w14:textId="77777777" w:rsidR="00F97296" w:rsidRPr="00296E53" w:rsidRDefault="00445540" w:rsidP="00F97296">
      <w:pPr>
        <w:jc w:val="center"/>
        <w:rPr>
          <w:rFonts w:ascii="Century Gothic" w:hAnsi="Century Gothic" w:cstheme="majorHAnsi"/>
          <w:b/>
          <w:sz w:val="19"/>
          <w:szCs w:val="19"/>
        </w:rPr>
      </w:pPr>
      <w:r w:rsidRPr="00296E53">
        <w:rPr>
          <w:rFonts w:ascii="Century Gothic" w:hAnsi="Century Gothic" w:cstheme="majorHAnsi"/>
          <w:b/>
          <w:sz w:val="19"/>
          <w:szCs w:val="19"/>
        </w:rPr>
        <w:t>A.</w:t>
      </w:r>
      <w:r w:rsidR="00517E8F" w:rsidRPr="00296E53">
        <w:rPr>
          <w:rFonts w:ascii="Century Gothic" w:hAnsi="Century Gothic" w:cstheme="majorHAnsi"/>
          <w:b/>
          <w:sz w:val="19"/>
          <w:szCs w:val="19"/>
        </w:rPr>
        <w:t>4</w:t>
      </w:r>
      <w:r w:rsidR="00F97296" w:rsidRPr="00296E53">
        <w:rPr>
          <w:rFonts w:ascii="Century Gothic" w:hAnsi="Century Gothic" w:cstheme="majorHAnsi"/>
          <w:b/>
          <w:sz w:val="19"/>
          <w:szCs w:val="19"/>
        </w:rPr>
        <w:t>.</w:t>
      </w:r>
      <w:r w:rsidRPr="00296E53">
        <w:rPr>
          <w:rFonts w:ascii="Century Gothic" w:hAnsi="Century Gothic" w:cstheme="majorHAnsi"/>
          <w:b/>
          <w:sz w:val="19"/>
          <w:szCs w:val="19"/>
        </w:rPr>
        <w:t>4</w:t>
      </w:r>
      <w:r w:rsidR="00F97296" w:rsidRPr="00296E53">
        <w:rPr>
          <w:rFonts w:ascii="Century Gothic" w:hAnsi="Century Gothic" w:cstheme="majorHAnsi"/>
          <w:b/>
          <w:sz w:val="19"/>
          <w:szCs w:val="19"/>
        </w:rPr>
        <w:t>. Ciclos de Programas de información que no publicaron o actualizaron metadatos en 2020</w:t>
      </w:r>
    </w:p>
    <w:tbl>
      <w:tblPr>
        <w:tblW w:w="14312" w:type="dxa"/>
        <w:tblLayout w:type="fixed"/>
        <w:tblCellMar>
          <w:left w:w="70" w:type="dxa"/>
          <w:right w:w="70" w:type="dxa"/>
        </w:tblCellMar>
        <w:tblLook w:val="04A0" w:firstRow="1" w:lastRow="0" w:firstColumn="1" w:lastColumn="0" w:noHBand="0" w:noVBand="1"/>
      </w:tblPr>
      <w:tblGrid>
        <w:gridCol w:w="8784"/>
        <w:gridCol w:w="2835"/>
        <w:gridCol w:w="1276"/>
        <w:gridCol w:w="1417"/>
      </w:tblGrid>
      <w:tr w:rsidR="00F97296" w:rsidRPr="00296E53" w14:paraId="1D2336C4" w14:textId="77777777" w:rsidTr="00037DA5">
        <w:trPr>
          <w:trHeight w:val="255"/>
          <w:tblHeader/>
        </w:trPr>
        <w:tc>
          <w:tcPr>
            <w:tcW w:w="878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0061FC4" w14:textId="701D590A" w:rsidR="00F97296" w:rsidRPr="00296E53" w:rsidRDefault="00C15C57" w:rsidP="00D256F6">
            <w:pPr>
              <w:spacing w:after="0" w:line="240" w:lineRule="auto"/>
              <w:jc w:val="center"/>
              <w:rPr>
                <w:rFonts w:ascii="Century Gothic" w:eastAsia="Times New Roman" w:hAnsi="Century Gothic" w:cs="Calibri"/>
                <w:b/>
                <w:bCs/>
                <w:color w:val="FFFFFF"/>
                <w:sz w:val="16"/>
                <w:szCs w:val="16"/>
                <w:lang w:eastAsia="es-MX"/>
              </w:rPr>
            </w:pPr>
            <w:r w:rsidRPr="00C15C57">
              <w:rPr>
                <w:rFonts w:ascii="Century Gothic" w:eastAsia="Times New Roman" w:hAnsi="Century Gothic" w:cs="Calibri"/>
                <w:b/>
                <w:bCs/>
                <w:color w:val="FFFFFF"/>
                <w:sz w:val="16"/>
                <w:szCs w:val="16"/>
                <w:lang w:eastAsia="es-MX"/>
              </w:rPr>
              <w:t>Nombre del Producto comprometido en el calendario de difusión</w:t>
            </w:r>
          </w:p>
        </w:tc>
        <w:tc>
          <w:tcPr>
            <w:tcW w:w="2835" w:type="dxa"/>
            <w:tcBorders>
              <w:top w:val="single" w:sz="4" w:space="0" w:color="auto"/>
              <w:left w:val="nil"/>
              <w:bottom w:val="single" w:sz="4" w:space="0" w:color="auto"/>
              <w:right w:val="single" w:sz="4" w:space="0" w:color="auto"/>
            </w:tcBorders>
            <w:shd w:val="clear" w:color="000000" w:fill="002060"/>
            <w:vAlign w:val="center"/>
            <w:hideMark/>
          </w:tcPr>
          <w:p w14:paraId="55FD4F4F" w14:textId="77777777" w:rsidR="00F97296" w:rsidRPr="00296E53" w:rsidRDefault="00F97296" w:rsidP="00D256F6">
            <w:pPr>
              <w:spacing w:after="0" w:line="240" w:lineRule="auto"/>
              <w:jc w:val="center"/>
              <w:rPr>
                <w:rFonts w:ascii="Century Gothic" w:eastAsia="Times New Roman" w:hAnsi="Century Gothic" w:cs="Calibri"/>
                <w:b/>
                <w:bCs/>
                <w:color w:val="FFFFFF"/>
                <w:sz w:val="16"/>
                <w:szCs w:val="16"/>
                <w:lang w:eastAsia="es-MX"/>
              </w:rPr>
            </w:pPr>
            <w:r w:rsidRPr="00296E53">
              <w:rPr>
                <w:rFonts w:ascii="Century Gothic" w:eastAsia="Times New Roman" w:hAnsi="Century Gothic" w:cs="Calibri"/>
                <w:b/>
                <w:bCs/>
                <w:color w:val="FFFFFF"/>
                <w:sz w:val="16"/>
                <w:szCs w:val="16"/>
                <w:lang w:eastAsia="es-MX"/>
              </w:rPr>
              <w:t>Periodicidad</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71D870DF" w14:textId="77777777" w:rsidR="00F97296" w:rsidRPr="00296E53" w:rsidRDefault="00F97296" w:rsidP="00D256F6">
            <w:pPr>
              <w:spacing w:after="0" w:line="240" w:lineRule="auto"/>
              <w:jc w:val="center"/>
              <w:rPr>
                <w:rFonts w:ascii="Century Gothic" w:eastAsia="Times New Roman" w:hAnsi="Century Gothic" w:cs="Calibri"/>
                <w:b/>
                <w:bCs/>
                <w:color w:val="FFFFFF"/>
                <w:sz w:val="16"/>
                <w:szCs w:val="16"/>
                <w:lang w:eastAsia="es-MX"/>
              </w:rPr>
            </w:pPr>
            <w:r w:rsidRPr="00296E53">
              <w:rPr>
                <w:rFonts w:ascii="Century Gothic" w:eastAsia="Times New Roman" w:hAnsi="Century Gothic" w:cs="Calibri"/>
                <w:b/>
                <w:bCs/>
                <w:color w:val="FFFFFF"/>
                <w:sz w:val="16"/>
                <w:szCs w:val="16"/>
                <w:lang w:eastAsia="es-MX"/>
              </w:rPr>
              <w:t>Ciclos publicados</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176F1FCA" w14:textId="77777777" w:rsidR="00F97296" w:rsidRPr="00296E53" w:rsidRDefault="00F97296" w:rsidP="00D256F6">
            <w:pPr>
              <w:spacing w:after="0" w:line="240" w:lineRule="auto"/>
              <w:jc w:val="center"/>
              <w:rPr>
                <w:rFonts w:ascii="Century Gothic" w:eastAsia="Times New Roman" w:hAnsi="Century Gothic" w:cs="Calibri"/>
                <w:b/>
                <w:bCs/>
                <w:color w:val="FFFFFF"/>
                <w:sz w:val="16"/>
                <w:szCs w:val="16"/>
                <w:lang w:eastAsia="es-MX"/>
              </w:rPr>
            </w:pPr>
            <w:r w:rsidRPr="00296E53">
              <w:rPr>
                <w:rFonts w:ascii="Century Gothic" w:eastAsia="Times New Roman" w:hAnsi="Century Gothic" w:cs="Calibri"/>
                <w:b/>
                <w:bCs/>
                <w:color w:val="FFFFFF"/>
                <w:sz w:val="16"/>
                <w:szCs w:val="16"/>
                <w:lang w:eastAsia="es-MX"/>
              </w:rPr>
              <w:t>UA Responsable</w:t>
            </w:r>
          </w:p>
        </w:tc>
      </w:tr>
      <w:tr w:rsidR="00F97296" w:rsidRPr="00296E53" w14:paraId="759493ED"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6AF8C163" w14:textId="77777777" w:rsidR="00F97296" w:rsidRPr="00296E53" w:rsidRDefault="00F97296" w:rsidP="00D256F6">
            <w:pPr>
              <w:spacing w:after="0" w:line="240" w:lineRule="auto"/>
              <w:rPr>
                <w:rFonts w:ascii="Century Gothic" w:eastAsia="Times New Roman" w:hAnsi="Century Gothic" w:cs="Calibri"/>
                <w:sz w:val="16"/>
                <w:szCs w:val="16"/>
                <w:lang w:eastAsia="es-MX"/>
              </w:rPr>
            </w:pPr>
            <w:bookmarkStart w:id="22" w:name="_Hlk62131287"/>
            <w:r w:rsidRPr="00296E53">
              <w:rPr>
                <w:rFonts w:ascii="Century Gothic" w:eastAsia="Times New Roman" w:hAnsi="Century Gothic" w:cs="Calibri"/>
                <w:sz w:val="16"/>
                <w:szCs w:val="16"/>
                <w:lang w:eastAsia="es-MX"/>
              </w:rPr>
              <w:t>Encuesta Nacional de Agencias Funerarias ante COVID-19 2020.</w:t>
            </w:r>
          </w:p>
        </w:tc>
        <w:tc>
          <w:tcPr>
            <w:tcW w:w="2835" w:type="dxa"/>
            <w:tcBorders>
              <w:top w:val="nil"/>
              <w:left w:val="nil"/>
              <w:bottom w:val="single" w:sz="4" w:space="0" w:color="auto"/>
              <w:right w:val="single" w:sz="4" w:space="0" w:color="auto"/>
            </w:tcBorders>
            <w:shd w:val="clear" w:color="auto" w:fill="auto"/>
            <w:noWrap/>
            <w:vAlign w:val="center"/>
            <w:hideMark/>
          </w:tcPr>
          <w:p w14:paraId="641FD80B"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Única</w:t>
            </w:r>
          </w:p>
        </w:tc>
        <w:tc>
          <w:tcPr>
            <w:tcW w:w="1276" w:type="dxa"/>
            <w:tcBorders>
              <w:top w:val="nil"/>
              <w:left w:val="nil"/>
              <w:bottom w:val="single" w:sz="4" w:space="0" w:color="auto"/>
              <w:right w:val="single" w:sz="4" w:space="0" w:color="auto"/>
            </w:tcBorders>
            <w:shd w:val="clear" w:color="auto" w:fill="auto"/>
            <w:vAlign w:val="center"/>
            <w:hideMark/>
          </w:tcPr>
          <w:p w14:paraId="34AFF92F"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5DF75C16"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DGEE</w:t>
            </w:r>
          </w:p>
        </w:tc>
      </w:tr>
      <w:tr w:rsidR="00F97296" w:rsidRPr="00296E53" w14:paraId="788D54FB"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5FFBE66E"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sobre el Impacto Económico Generado por COVID-19 en las Empresas 2020</w:t>
            </w:r>
          </w:p>
        </w:tc>
        <w:tc>
          <w:tcPr>
            <w:tcW w:w="2835" w:type="dxa"/>
            <w:tcBorders>
              <w:top w:val="nil"/>
              <w:left w:val="nil"/>
              <w:bottom w:val="single" w:sz="4" w:space="0" w:color="auto"/>
              <w:right w:val="single" w:sz="4" w:space="0" w:color="auto"/>
            </w:tcBorders>
            <w:shd w:val="clear" w:color="auto" w:fill="auto"/>
            <w:noWrap/>
            <w:vAlign w:val="center"/>
            <w:hideMark/>
          </w:tcPr>
          <w:p w14:paraId="5DC3E333"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3EF0022E"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2</w:t>
            </w:r>
          </w:p>
        </w:tc>
        <w:tc>
          <w:tcPr>
            <w:tcW w:w="1417" w:type="dxa"/>
            <w:tcBorders>
              <w:top w:val="nil"/>
              <w:left w:val="nil"/>
              <w:bottom w:val="single" w:sz="4" w:space="0" w:color="auto"/>
              <w:right w:val="single" w:sz="4" w:space="0" w:color="auto"/>
            </w:tcBorders>
            <w:shd w:val="clear" w:color="auto" w:fill="auto"/>
            <w:vAlign w:val="center"/>
            <w:hideMark/>
          </w:tcPr>
          <w:p w14:paraId="189072B5"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DGEE</w:t>
            </w:r>
          </w:p>
        </w:tc>
      </w:tr>
      <w:tr w:rsidR="00F97296" w:rsidRPr="00296E53" w14:paraId="7C3D4005"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7657BB56"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Nacional de Inserción Laboral de los Egresados de la Educación Media Superior 2016</w:t>
            </w:r>
          </w:p>
        </w:tc>
        <w:tc>
          <w:tcPr>
            <w:tcW w:w="2835" w:type="dxa"/>
            <w:tcBorders>
              <w:top w:val="nil"/>
              <w:left w:val="nil"/>
              <w:bottom w:val="single" w:sz="4" w:space="0" w:color="auto"/>
              <w:right w:val="single" w:sz="4" w:space="0" w:color="auto"/>
            </w:tcBorders>
            <w:shd w:val="clear" w:color="auto" w:fill="auto"/>
            <w:noWrap/>
            <w:vAlign w:val="center"/>
            <w:hideMark/>
          </w:tcPr>
          <w:p w14:paraId="1EBACBDA"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7F2B3C8A"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38BE6BE0"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5D46E2CB"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54CE033D"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Nacional de Inserción Laboral de los Egresados de la Educación Media Superior 2019</w:t>
            </w:r>
          </w:p>
        </w:tc>
        <w:tc>
          <w:tcPr>
            <w:tcW w:w="2835" w:type="dxa"/>
            <w:tcBorders>
              <w:top w:val="nil"/>
              <w:left w:val="nil"/>
              <w:bottom w:val="single" w:sz="4" w:space="0" w:color="auto"/>
              <w:right w:val="single" w:sz="4" w:space="0" w:color="auto"/>
            </w:tcBorders>
            <w:shd w:val="clear" w:color="auto" w:fill="auto"/>
            <w:noWrap/>
            <w:vAlign w:val="center"/>
            <w:hideMark/>
          </w:tcPr>
          <w:p w14:paraId="7E5F2C13"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242ACAD7"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18B4705A"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347CF377"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03776522"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Nacional de Trabajo Infantil 2019</w:t>
            </w:r>
          </w:p>
        </w:tc>
        <w:tc>
          <w:tcPr>
            <w:tcW w:w="2835" w:type="dxa"/>
            <w:tcBorders>
              <w:top w:val="nil"/>
              <w:left w:val="nil"/>
              <w:bottom w:val="single" w:sz="4" w:space="0" w:color="auto"/>
              <w:right w:val="single" w:sz="4" w:space="0" w:color="auto"/>
            </w:tcBorders>
            <w:shd w:val="clear" w:color="auto" w:fill="auto"/>
            <w:noWrap/>
            <w:vAlign w:val="center"/>
            <w:hideMark/>
          </w:tcPr>
          <w:p w14:paraId="166F8599"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Bianual</w:t>
            </w:r>
          </w:p>
        </w:tc>
        <w:tc>
          <w:tcPr>
            <w:tcW w:w="1276" w:type="dxa"/>
            <w:tcBorders>
              <w:top w:val="nil"/>
              <w:left w:val="nil"/>
              <w:bottom w:val="single" w:sz="4" w:space="0" w:color="auto"/>
              <w:right w:val="single" w:sz="4" w:space="0" w:color="auto"/>
            </w:tcBorders>
            <w:shd w:val="clear" w:color="auto" w:fill="auto"/>
            <w:vAlign w:val="center"/>
            <w:hideMark/>
          </w:tcPr>
          <w:p w14:paraId="4F64F38E"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6EE07888"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5645039E"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3894F206"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Nacional sobre Consumo de Energéticos en Viviendas Particulares 2019</w:t>
            </w:r>
          </w:p>
        </w:tc>
        <w:tc>
          <w:tcPr>
            <w:tcW w:w="2835" w:type="dxa"/>
            <w:tcBorders>
              <w:top w:val="nil"/>
              <w:left w:val="nil"/>
              <w:bottom w:val="single" w:sz="4" w:space="0" w:color="auto"/>
              <w:right w:val="single" w:sz="4" w:space="0" w:color="auto"/>
            </w:tcBorders>
            <w:shd w:val="clear" w:color="auto" w:fill="auto"/>
            <w:vAlign w:val="center"/>
            <w:hideMark/>
          </w:tcPr>
          <w:p w14:paraId="4515A932"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Anual</w:t>
            </w:r>
          </w:p>
        </w:tc>
        <w:tc>
          <w:tcPr>
            <w:tcW w:w="1276" w:type="dxa"/>
            <w:tcBorders>
              <w:top w:val="nil"/>
              <w:left w:val="nil"/>
              <w:bottom w:val="single" w:sz="4" w:space="0" w:color="auto"/>
              <w:right w:val="single" w:sz="4" w:space="0" w:color="auto"/>
            </w:tcBorders>
            <w:shd w:val="clear" w:color="auto" w:fill="auto"/>
            <w:vAlign w:val="center"/>
            <w:hideMark/>
          </w:tcPr>
          <w:p w14:paraId="6B08B4E9"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48112F01"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63AA8F9B"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30A89E77"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Telefónica de Ocupación y Empleo 2020</w:t>
            </w:r>
          </w:p>
        </w:tc>
        <w:tc>
          <w:tcPr>
            <w:tcW w:w="2835" w:type="dxa"/>
            <w:tcBorders>
              <w:top w:val="nil"/>
              <w:left w:val="nil"/>
              <w:bottom w:val="single" w:sz="4" w:space="0" w:color="auto"/>
              <w:right w:val="single" w:sz="4" w:space="0" w:color="auto"/>
            </w:tcBorders>
            <w:shd w:val="clear" w:color="auto" w:fill="auto"/>
            <w:vAlign w:val="center"/>
            <w:hideMark/>
          </w:tcPr>
          <w:p w14:paraId="4FD3FB72"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12621172"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3</w:t>
            </w:r>
          </w:p>
        </w:tc>
        <w:tc>
          <w:tcPr>
            <w:tcW w:w="1417" w:type="dxa"/>
            <w:tcBorders>
              <w:top w:val="nil"/>
              <w:left w:val="nil"/>
              <w:bottom w:val="single" w:sz="4" w:space="0" w:color="auto"/>
              <w:right w:val="single" w:sz="4" w:space="0" w:color="auto"/>
            </w:tcBorders>
            <w:shd w:val="clear" w:color="auto" w:fill="auto"/>
            <w:vAlign w:val="center"/>
            <w:hideMark/>
          </w:tcPr>
          <w:p w14:paraId="5743EB66"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095A35E4"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21540833"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Telefónica sobre Confianza del Consumidor 2020</w:t>
            </w:r>
          </w:p>
        </w:tc>
        <w:tc>
          <w:tcPr>
            <w:tcW w:w="2835" w:type="dxa"/>
            <w:tcBorders>
              <w:top w:val="nil"/>
              <w:left w:val="nil"/>
              <w:bottom w:val="single" w:sz="4" w:space="0" w:color="auto"/>
              <w:right w:val="single" w:sz="4" w:space="0" w:color="auto"/>
            </w:tcBorders>
            <w:shd w:val="clear" w:color="auto" w:fill="auto"/>
            <w:vAlign w:val="center"/>
            <w:hideMark/>
          </w:tcPr>
          <w:p w14:paraId="2FCB4CAB"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2549022E"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4</w:t>
            </w:r>
          </w:p>
        </w:tc>
        <w:tc>
          <w:tcPr>
            <w:tcW w:w="1417" w:type="dxa"/>
            <w:tcBorders>
              <w:top w:val="nil"/>
              <w:left w:val="nil"/>
              <w:bottom w:val="single" w:sz="4" w:space="0" w:color="auto"/>
              <w:right w:val="single" w:sz="4" w:space="0" w:color="auto"/>
            </w:tcBorders>
            <w:shd w:val="clear" w:color="auto" w:fill="auto"/>
            <w:vAlign w:val="center"/>
            <w:hideMark/>
          </w:tcPr>
          <w:p w14:paraId="7CE5722D"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762F481F"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64D223F3"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Telefónica sobre COVID-19 y Mercado Laboral 2020</w:t>
            </w:r>
          </w:p>
        </w:tc>
        <w:tc>
          <w:tcPr>
            <w:tcW w:w="2835" w:type="dxa"/>
            <w:tcBorders>
              <w:top w:val="nil"/>
              <w:left w:val="nil"/>
              <w:bottom w:val="single" w:sz="4" w:space="0" w:color="auto"/>
              <w:right w:val="single" w:sz="4" w:space="0" w:color="auto"/>
            </w:tcBorders>
            <w:shd w:val="clear" w:color="auto" w:fill="auto"/>
            <w:vAlign w:val="center"/>
            <w:hideMark/>
          </w:tcPr>
          <w:p w14:paraId="6CB9FCFD"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362B5C57"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4</w:t>
            </w:r>
          </w:p>
        </w:tc>
        <w:tc>
          <w:tcPr>
            <w:tcW w:w="1417" w:type="dxa"/>
            <w:tcBorders>
              <w:top w:val="nil"/>
              <w:left w:val="nil"/>
              <w:bottom w:val="single" w:sz="4" w:space="0" w:color="auto"/>
              <w:right w:val="single" w:sz="4" w:space="0" w:color="auto"/>
            </w:tcBorders>
            <w:shd w:val="clear" w:color="auto" w:fill="auto"/>
            <w:vAlign w:val="center"/>
            <w:hideMark/>
          </w:tcPr>
          <w:p w14:paraId="388234C5"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09C48399"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0EEED64F"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 xml:space="preserve">Módulo de Bienestar </w:t>
            </w:r>
            <w:proofErr w:type="spellStart"/>
            <w:r w:rsidRPr="00296E53">
              <w:rPr>
                <w:rFonts w:ascii="Century Gothic" w:eastAsia="Times New Roman" w:hAnsi="Century Gothic" w:cs="Calibri"/>
                <w:sz w:val="16"/>
                <w:szCs w:val="16"/>
                <w:lang w:eastAsia="es-MX"/>
              </w:rPr>
              <w:t>Autorreportado</w:t>
            </w:r>
            <w:proofErr w:type="spellEnd"/>
            <w:r w:rsidRPr="00296E53">
              <w:rPr>
                <w:rFonts w:ascii="Century Gothic" w:eastAsia="Times New Roman" w:hAnsi="Century Gothic" w:cs="Calibri"/>
                <w:sz w:val="16"/>
                <w:szCs w:val="16"/>
                <w:lang w:eastAsia="es-MX"/>
              </w:rPr>
              <w:t xml:space="preserve"> de la Población Urbana, enero 2020</w:t>
            </w:r>
          </w:p>
        </w:tc>
        <w:tc>
          <w:tcPr>
            <w:tcW w:w="2835" w:type="dxa"/>
            <w:tcBorders>
              <w:top w:val="nil"/>
              <w:left w:val="nil"/>
              <w:bottom w:val="single" w:sz="4" w:space="0" w:color="auto"/>
              <w:right w:val="single" w:sz="4" w:space="0" w:color="auto"/>
            </w:tcBorders>
            <w:shd w:val="clear" w:color="auto" w:fill="auto"/>
            <w:vAlign w:val="center"/>
            <w:hideMark/>
          </w:tcPr>
          <w:p w14:paraId="7BA050B7"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Semestral</w:t>
            </w:r>
          </w:p>
        </w:tc>
        <w:tc>
          <w:tcPr>
            <w:tcW w:w="1276" w:type="dxa"/>
            <w:tcBorders>
              <w:top w:val="nil"/>
              <w:left w:val="nil"/>
              <w:bottom w:val="single" w:sz="4" w:space="0" w:color="auto"/>
              <w:right w:val="single" w:sz="4" w:space="0" w:color="auto"/>
            </w:tcBorders>
            <w:shd w:val="clear" w:color="auto" w:fill="auto"/>
            <w:vAlign w:val="center"/>
            <w:hideMark/>
          </w:tcPr>
          <w:p w14:paraId="50456947"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11E498BF"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bookmarkEnd w:id="22"/>
      <w:tr w:rsidR="00F97296" w:rsidRPr="00296E53" w14:paraId="4EC175AD"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52F93E80" w14:textId="77777777" w:rsidR="00F97296" w:rsidRPr="00296E53" w:rsidRDefault="00F97296" w:rsidP="00D256F6">
            <w:pPr>
              <w:spacing w:after="0" w:line="240" w:lineRule="auto"/>
              <w:rPr>
                <w:rFonts w:ascii="Century Gothic" w:eastAsia="Times New Roman" w:hAnsi="Century Gothic" w:cs="Calibri"/>
                <w:sz w:val="16"/>
                <w:szCs w:val="16"/>
                <w:vertAlign w:val="superscript"/>
                <w:lang w:eastAsia="es-MX"/>
              </w:rPr>
            </w:pPr>
            <w:r w:rsidRPr="00296E53">
              <w:rPr>
                <w:rFonts w:ascii="Century Gothic" w:eastAsia="Times New Roman" w:hAnsi="Century Gothic" w:cs="Calibri"/>
                <w:sz w:val="16"/>
                <w:szCs w:val="16"/>
                <w:lang w:eastAsia="es-MX"/>
              </w:rPr>
              <w:t xml:space="preserve">Archivo Histórico de Localidades </w:t>
            </w:r>
            <w:r w:rsidRPr="00296E53">
              <w:rPr>
                <w:rFonts w:ascii="Century Gothic" w:eastAsia="Times New Roman" w:hAnsi="Century Gothic" w:cs="Calibri"/>
                <w:sz w:val="16"/>
                <w:szCs w:val="16"/>
                <w:vertAlign w:val="superscript"/>
                <w:lang w:eastAsia="es-MX"/>
              </w:rPr>
              <w:t>a/</w:t>
            </w:r>
          </w:p>
        </w:tc>
        <w:tc>
          <w:tcPr>
            <w:tcW w:w="2835" w:type="dxa"/>
            <w:tcBorders>
              <w:top w:val="nil"/>
              <w:left w:val="nil"/>
              <w:bottom w:val="single" w:sz="4" w:space="0" w:color="auto"/>
              <w:right w:val="single" w:sz="4" w:space="0" w:color="auto"/>
            </w:tcBorders>
            <w:shd w:val="clear" w:color="auto" w:fill="auto"/>
            <w:noWrap/>
            <w:vAlign w:val="center"/>
            <w:hideMark/>
          </w:tcPr>
          <w:p w14:paraId="3EDF9E00"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Trimestral</w:t>
            </w:r>
          </w:p>
        </w:tc>
        <w:tc>
          <w:tcPr>
            <w:tcW w:w="1276" w:type="dxa"/>
            <w:tcBorders>
              <w:top w:val="nil"/>
              <w:left w:val="nil"/>
              <w:bottom w:val="single" w:sz="4" w:space="0" w:color="auto"/>
              <w:right w:val="single" w:sz="4" w:space="0" w:color="auto"/>
            </w:tcBorders>
            <w:shd w:val="clear" w:color="auto" w:fill="auto"/>
            <w:vAlign w:val="center"/>
            <w:hideMark/>
          </w:tcPr>
          <w:p w14:paraId="23BD3640"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4</w:t>
            </w:r>
          </w:p>
        </w:tc>
        <w:tc>
          <w:tcPr>
            <w:tcW w:w="1417" w:type="dxa"/>
            <w:tcBorders>
              <w:top w:val="nil"/>
              <w:left w:val="nil"/>
              <w:bottom w:val="single" w:sz="4" w:space="0" w:color="auto"/>
              <w:right w:val="single" w:sz="4" w:space="0" w:color="auto"/>
            </w:tcBorders>
            <w:shd w:val="clear" w:color="auto" w:fill="auto"/>
            <w:vAlign w:val="center"/>
            <w:hideMark/>
          </w:tcPr>
          <w:p w14:paraId="2CD6FD55"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DGGMA</w:t>
            </w:r>
          </w:p>
        </w:tc>
      </w:tr>
      <w:tr w:rsidR="00F97296" w:rsidRPr="00296E53" w14:paraId="7019B6C6"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6ECC58D8"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 xml:space="preserve">Archivos de Datos Satelitales de la Red Geodésica Nacional Activa </w:t>
            </w:r>
            <w:r w:rsidRPr="00296E53">
              <w:rPr>
                <w:rFonts w:ascii="Century Gothic" w:eastAsia="Times New Roman" w:hAnsi="Century Gothic" w:cs="Calibri"/>
                <w:sz w:val="16"/>
                <w:szCs w:val="16"/>
                <w:vertAlign w:val="superscript"/>
                <w:lang w:eastAsia="es-MX"/>
              </w:rPr>
              <w:t>a/</w:t>
            </w:r>
          </w:p>
        </w:tc>
        <w:tc>
          <w:tcPr>
            <w:tcW w:w="2835" w:type="dxa"/>
            <w:tcBorders>
              <w:top w:val="nil"/>
              <w:left w:val="nil"/>
              <w:bottom w:val="single" w:sz="4" w:space="0" w:color="auto"/>
              <w:right w:val="single" w:sz="4" w:space="0" w:color="auto"/>
            </w:tcBorders>
            <w:shd w:val="clear" w:color="auto" w:fill="auto"/>
            <w:vAlign w:val="center"/>
            <w:hideMark/>
          </w:tcPr>
          <w:p w14:paraId="30793EFF"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36727F19"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6182C057"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DGGMA</w:t>
            </w:r>
          </w:p>
        </w:tc>
      </w:tr>
      <w:tr w:rsidR="00F97296" w:rsidRPr="00296E53" w14:paraId="79AB6B7A"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2585BCB9"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 xml:space="preserve">Catálogo Único de Claves de Áreas Geoestadísticas Estatales, Municipales y Localidades </w:t>
            </w:r>
            <w:r w:rsidRPr="00296E53">
              <w:rPr>
                <w:rFonts w:ascii="Century Gothic" w:eastAsia="Times New Roman" w:hAnsi="Century Gothic" w:cs="Calibri"/>
                <w:sz w:val="16"/>
                <w:szCs w:val="16"/>
                <w:vertAlign w:val="superscript"/>
                <w:lang w:eastAsia="es-MX"/>
              </w:rPr>
              <w:t>a/</w:t>
            </w:r>
          </w:p>
        </w:tc>
        <w:tc>
          <w:tcPr>
            <w:tcW w:w="2835" w:type="dxa"/>
            <w:tcBorders>
              <w:top w:val="nil"/>
              <w:left w:val="nil"/>
              <w:bottom w:val="single" w:sz="4" w:space="0" w:color="auto"/>
              <w:right w:val="single" w:sz="4" w:space="0" w:color="auto"/>
            </w:tcBorders>
            <w:shd w:val="clear" w:color="auto" w:fill="auto"/>
            <w:vAlign w:val="center"/>
            <w:hideMark/>
          </w:tcPr>
          <w:p w14:paraId="16A5C32D"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Mensual</w:t>
            </w:r>
          </w:p>
        </w:tc>
        <w:tc>
          <w:tcPr>
            <w:tcW w:w="1276" w:type="dxa"/>
            <w:tcBorders>
              <w:top w:val="nil"/>
              <w:left w:val="nil"/>
              <w:bottom w:val="single" w:sz="4" w:space="0" w:color="auto"/>
              <w:right w:val="single" w:sz="4" w:space="0" w:color="auto"/>
            </w:tcBorders>
            <w:shd w:val="clear" w:color="auto" w:fill="auto"/>
            <w:vAlign w:val="center"/>
            <w:hideMark/>
          </w:tcPr>
          <w:p w14:paraId="703D5123"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12</w:t>
            </w:r>
          </w:p>
        </w:tc>
        <w:tc>
          <w:tcPr>
            <w:tcW w:w="1417" w:type="dxa"/>
            <w:tcBorders>
              <w:top w:val="nil"/>
              <w:left w:val="nil"/>
              <w:bottom w:val="single" w:sz="4" w:space="0" w:color="auto"/>
              <w:right w:val="single" w:sz="4" w:space="0" w:color="auto"/>
            </w:tcBorders>
            <w:shd w:val="clear" w:color="auto" w:fill="auto"/>
            <w:vAlign w:val="center"/>
            <w:hideMark/>
          </w:tcPr>
          <w:p w14:paraId="7B5EA9F7"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DGGMA</w:t>
            </w:r>
          </w:p>
        </w:tc>
      </w:tr>
      <w:tr w:rsidR="00F97296" w:rsidRPr="00296E53" w14:paraId="0B0FA8A9" w14:textId="77777777" w:rsidTr="00B15CC3">
        <w:trPr>
          <w:trHeight w:val="255"/>
        </w:trPr>
        <w:tc>
          <w:tcPr>
            <w:tcW w:w="8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7262D"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 xml:space="preserve">Estaciones de la Red Geodésica Nacional Pasiva </w:t>
            </w:r>
            <w:r w:rsidRPr="00296E53">
              <w:rPr>
                <w:rFonts w:ascii="Century Gothic" w:eastAsia="Times New Roman" w:hAnsi="Century Gothic" w:cs="Calibri"/>
                <w:sz w:val="16"/>
                <w:szCs w:val="16"/>
                <w:vertAlign w:val="superscript"/>
                <w:lang w:eastAsia="es-MX"/>
              </w:rPr>
              <w:t>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49053C2"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Quincenal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FE9F0ED"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23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CCC7775"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DGGMA</w:t>
            </w:r>
          </w:p>
        </w:tc>
      </w:tr>
      <w:tr w:rsidR="00F97296" w:rsidRPr="00296E53" w14:paraId="107EB65A" w14:textId="77777777" w:rsidTr="00B15CC3">
        <w:trPr>
          <w:trHeight w:val="255"/>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6171C"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 xml:space="preserve">Registro de Nombres Geográficos Continentales e Insulares con fines Estadísticos y Geográficos </w:t>
            </w:r>
            <w:r w:rsidRPr="00296E53">
              <w:rPr>
                <w:rFonts w:ascii="Century Gothic" w:eastAsia="Times New Roman" w:hAnsi="Century Gothic" w:cs="Calibri"/>
                <w:sz w:val="16"/>
                <w:szCs w:val="16"/>
                <w:vertAlign w:val="superscript"/>
                <w:lang w:eastAsia="es-MX"/>
              </w:rPr>
              <w:t>a/</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18475"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Trimestral</w:t>
            </w:r>
          </w:p>
        </w:tc>
        <w:tc>
          <w:tcPr>
            <w:tcW w:w="1276" w:type="dxa"/>
            <w:tcBorders>
              <w:top w:val="single" w:sz="4" w:space="0" w:color="auto"/>
              <w:left w:val="single" w:sz="4" w:space="0" w:color="auto"/>
              <w:right w:val="single" w:sz="4" w:space="0" w:color="auto"/>
            </w:tcBorders>
            <w:shd w:val="clear" w:color="auto" w:fill="auto"/>
            <w:vAlign w:val="center"/>
            <w:hideMark/>
          </w:tcPr>
          <w:p w14:paraId="01F35CF1"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4</w:t>
            </w:r>
          </w:p>
        </w:tc>
        <w:tc>
          <w:tcPr>
            <w:tcW w:w="1417" w:type="dxa"/>
            <w:tcBorders>
              <w:top w:val="single" w:sz="4" w:space="0" w:color="auto"/>
              <w:left w:val="single" w:sz="4" w:space="0" w:color="auto"/>
              <w:right w:val="single" w:sz="4" w:space="0" w:color="auto"/>
            </w:tcBorders>
            <w:shd w:val="clear" w:color="auto" w:fill="auto"/>
            <w:vAlign w:val="center"/>
            <w:hideMark/>
          </w:tcPr>
          <w:p w14:paraId="70413442"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DGGMA</w:t>
            </w:r>
          </w:p>
        </w:tc>
      </w:tr>
      <w:tr w:rsidR="00F97296" w:rsidRPr="00296E53" w14:paraId="521C32AE" w14:textId="77777777" w:rsidTr="00B15CC3">
        <w:trPr>
          <w:trHeight w:val="255"/>
        </w:trPr>
        <w:tc>
          <w:tcPr>
            <w:tcW w:w="11619" w:type="dxa"/>
            <w:gridSpan w:val="2"/>
            <w:tcBorders>
              <w:top w:val="single" w:sz="4" w:space="0" w:color="auto"/>
              <w:left w:val="single" w:sz="4" w:space="0" w:color="auto"/>
            </w:tcBorders>
            <w:shd w:val="clear" w:color="auto" w:fill="002060"/>
            <w:noWrap/>
            <w:vAlign w:val="center"/>
          </w:tcPr>
          <w:p w14:paraId="6826542A" w14:textId="77777777" w:rsidR="00F97296" w:rsidRPr="00296E53" w:rsidRDefault="00F97296" w:rsidP="00D256F6">
            <w:pPr>
              <w:spacing w:after="0" w:line="240" w:lineRule="auto"/>
              <w:jc w:val="center"/>
              <w:rPr>
                <w:rFonts w:ascii="Century Gothic" w:eastAsia="Times New Roman" w:hAnsi="Century Gothic" w:cs="Calibri"/>
                <w:b/>
                <w:bCs/>
                <w:sz w:val="16"/>
                <w:szCs w:val="16"/>
                <w:lang w:eastAsia="es-MX"/>
              </w:rPr>
            </w:pPr>
            <w:r w:rsidRPr="00296E53">
              <w:rPr>
                <w:rFonts w:ascii="Century Gothic" w:eastAsia="Times New Roman" w:hAnsi="Century Gothic" w:cs="Calibri"/>
                <w:b/>
                <w:bCs/>
                <w:sz w:val="16"/>
                <w:szCs w:val="16"/>
                <w:lang w:eastAsia="es-MX"/>
              </w:rPr>
              <w:t>TOTAL</w:t>
            </w:r>
          </w:p>
        </w:tc>
        <w:tc>
          <w:tcPr>
            <w:tcW w:w="1276" w:type="dxa"/>
            <w:shd w:val="clear" w:color="auto" w:fill="002060"/>
            <w:vAlign w:val="center"/>
          </w:tcPr>
          <w:p w14:paraId="2177B550" w14:textId="34E6F556" w:rsidR="00F97296" w:rsidRPr="00296E53" w:rsidRDefault="009406DF" w:rsidP="00D256F6">
            <w:pPr>
              <w:spacing w:after="0" w:line="240" w:lineRule="auto"/>
              <w:rPr>
                <w:rFonts w:ascii="Century Gothic" w:eastAsia="Times New Roman" w:hAnsi="Century Gothic" w:cs="Calibri"/>
                <w:b/>
                <w:bCs/>
                <w:sz w:val="16"/>
                <w:szCs w:val="16"/>
                <w:lang w:eastAsia="es-MX"/>
              </w:rPr>
            </w:pPr>
            <w:r w:rsidRPr="00296E53">
              <w:rPr>
                <w:rFonts w:ascii="Century Gothic" w:eastAsia="Times New Roman" w:hAnsi="Century Gothic" w:cs="Calibri"/>
                <w:b/>
                <w:bCs/>
                <w:sz w:val="16"/>
                <w:szCs w:val="16"/>
                <w:lang w:eastAsia="es-MX"/>
              </w:rPr>
              <w:t>63</w:t>
            </w:r>
            <w:r w:rsidR="00F97296" w:rsidRPr="00296E53">
              <w:rPr>
                <w:rFonts w:ascii="Century Gothic" w:eastAsia="Times New Roman" w:hAnsi="Century Gothic" w:cs="Calibri"/>
                <w:b/>
                <w:bCs/>
                <w:sz w:val="16"/>
                <w:szCs w:val="16"/>
                <w:lang w:eastAsia="es-MX"/>
              </w:rPr>
              <w:t xml:space="preserve"> ciclos</w:t>
            </w:r>
          </w:p>
        </w:tc>
        <w:tc>
          <w:tcPr>
            <w:tcW w:w="1417" w:type="dxa"/>
            <w:shd w:val="clear" w:color="auto" w:fill="002060"/>
            <w:vAlign w:val="center"/>
          </w:tcPr>
          <w:p w14:paraId="087380AD" w14:textId="77777777" w:rsidR="00F97296" w:rsidRPr="00296E53" w:rsidRDefault="00F97296" w:rsidP="00D256F6">
            <w:pPr>
              <w:spacing w:after="0" w:line="240" w:lineRule="auto"/>
              <w:rPr>
                <w:rFonts w:ascii="Century Gothic" w:eastAsia="Times New Roman" w:hAnsi="Century Gothic" w:cs="Calibri"/>
                <w:sz w:val="16"/>
                <w:szCs w:val="16"/>
                <w:lang w:eastAsia="es-MX"/>
              </w:rPr>
            </w:pPr>
          </w:p>
        </w:tc>
      </w:tr>
      <w:tr w:rsidR="00F97296" w:rsidRPr="00296E53" w14:paraId="58178C41" w14:textId="77777777" w:rsidTr="00B15CC3">
        <w:trPr>
          <w:trHeight w:val="255"/>
        </w:trPr>
        <w:tc>
          <w:tcPr>
            <w:tcW w:w="14312" w:type="dxa"/>
            <w:gridSpan w:val="4"/>
            <w:shd w:val="clear" w:color="auto" w:fill="auto"/>
            <w:noWrap/>
            <w:vAlign w:val="center"/>
          </w:tcPr>
          <w:p w14:paraId="1ED12224" w14:textId="2AFD68A4" w:rsidR="00F97296" w:rsidRPr="00296E53" w:rsidRDefault="00351905"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 xml:space="preserve">a/ </w:t>
            </w:r>
            <w:r w:rsidR="007C0F83" w:rsidRPr="00296E53">
              <w:rPr>
                <w:rFonts w:ascii="Century Gothic" w:eastAsia="Times New Roman" w:hAnsi="Century Gothic" w:cs="Calibri"/>
                <w:sz w:val="16"/>
                <w:szCs w:val="16"/>
                <w:lang w:eastAsia="es-MX"/>
              </w:rPr>
              <w:t xml:space="preserve">Se presentan los productos de información conforme se documentan </w:t>
            </w:r>
            <w:r w:rsidRPr="00296E53">
              <w:rPr>
                <w:rFonts w:ascii="Century Gothic" w:eastAsia="Times New Roman" w:hAnsi="Century Gothic" w:cs="Calibri"/>
                <w:sz w:val="16"/>
                <w:szCs w:val="16"/>
                <w:lang w:eastAsia="es-MX"/>
              </w:rPr>
              <w:t xml:space="preserve">en el sitio del </w:t>
            </w:r>
            <w:hyperlink r:id="rId23" w:history="1">
              <w:r w:rsidRPr="00296E53">
                <w:rPr>
                  <w:rStyle w:val="Hipervnculo"/>
                  <w:rFonts w:ascii="Century Gothic" w:eastAsia="Times New Roman" w:hAnsi="Century Gothic" w:cs="Calibri"/>
                  <w:sz w:val="16"/>
                  <w:szCs w:val="16"/>
                  <w:lang w:eastAsia="es-MX"/>
                </w:rPr>
                <w:t>Centro Distribuidor de Metadatos (</w:t>
              </w:r>
              <w:proofErr w:type="spellStart"/>
              <w:r w:rsidRPr="00296E53">
                <w:rPr>
                  <w:rStyle w:val="Hipervnculo"/>
                  <w:rFonts w:ascii="Century Gothic" w:eastAsia="Times New Roman" w:hAnsi="Century Gothic" w:cs="Calibri"/>
                  <w:sz w:val="16"/>
                  <w:szCs w:val="16"/>
                  <w:lang w:eastAsia="es-MX"/>
                </w:rPr>
                <w:t>Clearinghouse</w:t>
              </w:r>
              <w:proofErr w:type="spellEnd"/>
              <w:r w:rsidRPr="00296E53">
                <w:rPr>
                  <w:rStyle w:val="Hipervnculo"/>
                  <w:rFonts w:ascii="Century Gothic" w:eastAsia="Times New Roman" w:hAnsi="Century Gothic" w:cs="Calibri"/>
                  <w:sz w:val="16"/>
                  <w:szCs w:val="16"/>
                  <w:lang w:eastAsia="es-MX"/>
                </w:rPr>
                <w:t>)</w:t>
              </w:r>
            </w:hyperlink>
            <w:r w:rsidRPr="00296E53">
              <w:rPr>
                <w:rFonts w:ascii="Century Gothic" w:eastAsia="Times New Roman" w:hAnsi="Century Gothic" w:cs="Calibri"/>
                <w:sz w:val="16"/>
                <w:szCs w:val="16"/>
                <w:lang w:eastAsia="es-MX"/>
              </w:rPr>
              <w:t>,</w:t>
            </w:r>
            <w:r w:rsidR="007C0F83" w:rsidRPr="00296E53">
              <w:rPr>
                <w:rFonts w:ascii="Century Gothic" w:eastAsia="Times New Roman" w:hAnsi="Century Gothic" w:cs="Calibri"/>
                <w:sz w:val="16"/>
                <w:szCs w:val="16"/>
                <w:lang w:eastAsia="es-MX"/>
              </w:rPr>
              <w:t xml:space="preserve"> los cuales deberán ser ajustados a los programas de información definidos por la Dirección General de Geografía y Medio Ambiente. </w:t>
            </w:r>
            <w:r w:rsidRPr="00296E53">
              <w:rPr>
                <w:rFonts w:ascii="Century Gothic" w:eastAsia="Times New Roman" w:hAnsi="Century Gothic" w:cs="Calibri"/>
                <w:sz w:val="16"/>
                <w:szCs w:val="16"/>
                <w:lang w:eastAsia="es-MX"/>
              </w:rPr>
              <w:t xml:space="preserve"> </w:t>
            </w:r>
          </w:p>
        </w:tc>
      </w:tr>
    </w:tbl>
    <w:p w14:paraId="1A6C76E7" w14:textId="77777777" w:rsidR="00F97296" w:rsidRPr="00296E53" w:rsidRDefault="00F97296" w:rsidP="00F97296">
      <w:pPr>
        <w:spacing w:after="0" w:line="240" w:lineRule="auto"/>
        <w:ind w:left="-284"/>
        <w:jc w:val="both"/>
        <w:rPr>
          <w:rFonts w:ascii="Century Gothic" w:hAnsi="Century Gothic"/>
          <w:bCs/>
          <w:i/>
          <w:sz w:val="12"/>
          <w:szCs w:val="12"/>
        </w:rPr>
      </w:pPr>
    </w:p>
    <w:p w14:paraId="4E1A34DD" w14:textId="77777777" w:rsidR="00517E8F" w:rsidRPr="00296E53" w:rsidRDefault="00517E8F" w:rsidP="00F97296">
      <w:pPr>
        <w:spacing w:after="0" w:line="240" w:lineRule="auto"/>
        <w:ind w:left="-284"/>
        <w:jc w:val="center"/>
        <w:rPr>
          <w:rFonts w:ascii="Century Gothic" w:hAnsi="Century Gothic" w:cstheme="majorHAnsi"/>
          <w:b/>
          <w:sz w:val="19"/>
          <w:szCs w:val="19"/>
        </w:rPr>
      </w:pPr>
    </w:p>
    <w:p w14:paraId="5E6ADDEC" w14:textId="77777777" w:rsidR="00F97296" w:rsidRPr="00296E53" w:rsidRDefault="00925879" w:rsidP="00F97296">
      <w:pPr>
        <w:spacing w:after="0" w:line="240" w:lineRule="auto"/>
        <w:ind w:left="-284"/>
        <w:jc w:val="center"/>
        <w:rPr>
          <w:rFonts w:ascii="Century Gothic" w:hAnsi="Century Gothic" w:cstheme="majorHAnsi"/>
          <w:b/>
          <w:sz w:val="19"/>
          <w:szCs w:val="19"/>
        </w:rPr>
      </w:pPr>
      <w:r w:rsidRPr="00296E53">
        <w:rPr>
          <w:rFonts w:ascii="Century Gothic" w:hAnsi="Century Gothic" w:cstheme="majorHAnsi"/>
          <w:b/>
          <w:sz w:val="19"/>
          <w:szCs w:val="19"/>
        </w:rPr>
        <w:t>A.</w:t>
      </w:r>
      <w:r w:rsidR="00517E8F" w:rsidRPr="00296E53">
        <w:rPr>
          <w:rFonts w:ascii="Century Gothic" w:hAnsi="Century Gothic" w:cstheme="majorHAnsi"/>
          <w:b/>
          <w:sz w:val="19"/>
          <w:szCs w:val="19"/>
        </w:rPr>
        <w:t>4</w:t>
      </w:r>
      <w:r w:rsidR="00F97296" w:rsidRPr="00296E53">
        <w:rPr>
          <w:rFonts w:ascii="Century Gothic" w:hAnsi="Century Gothic" w:cstheme="majorHAnsi"/>
          <w:b/>
          <w:sz w:val="19"/>
          <w:szCs w:val="19"/>
        </w:rPr>
        <w:t>.</w:t>
      </w:r>
      <w:r w:rsidRPr="00296E53">
        <w:rPr>
          <w:rFonts w:ascii="Century Gothic" w:hAnsi="Century Gothic" w:cstheme="majorHAnsi"/>
          <w:b/>
          <w:sz w:val="19"/>
          <w:szCs w:val="19"/>
        </w:rPr>
        <w:t>5</w:t>
      </w:r>
      <w:r w:rsidR="00F97296" w:rsidRPr="00296E53">
        <w:rPr>
          <w:rFonts w:ascii="Century Gothic" w:hAnsi="Century Gothic" w:cstheme="majorHAnsi"/>
          <w:b/>
          <w:sz w:val="19"/>
          <w:szCs w:val="19"/>
        </w:rPr>
        <w:t xml:space="preserve"> Porcentaje de programas de información que publicaron metadatos documentados </w:t>
      </w:r>
      <w:r w:rsidR="00F97296" w:rsidRPr="00296E53">
        <w:rPr>
          <w:rFonts w:ascii="Century Gothic" w:hAnsi="Century Gothic" w:cstheme="majorHAnsi"/>
          <w:b/>
          <w:sz w:val="19"/>
          <w:szCs w:val="19"/>
        </w:rPr>
        <w:br/>
        <w:t>con base en un estándar internacional, 2018-2020</w:t>
      </w:r>
    </w:p>
    <w:p w14:paraId="44D08631" w14:textId="77777777" w:rsidR="00F97296" w:rsidRPr="00296E53" w:rsidRDefault="00F97296" w:rsidP="00F97296">
      <w:pPr>
        <w:spacing w:after="0" w:line="240" w:lineRule="auto"/>
        <w:ind w:left="-284"/>
        <w:jc w:val="center"/>
        <w:rPr>
          <w:rFonts w:ascii="Century Gothic" w:hAnsi="Century Gothic" w:cstheme="majorHAnsi"/>
          <w:b/>
          <w:sz w:val="19"/>
          <w:szCs w:val="19"/>
        </w:rPr>
      </w:pPr>
    </w:p>
    <w:p w14:paraId="0EB8EF61" w14:textId="3F4FD442" w:rsidR="00F97296" w:rsidRPr="00296E53" w:rsidRDefault="00DB078B" w:rsidP="00F97296">
      <w:pPr>
        <w:spacing w:after="0" w:line="240" w:lineRule="auto"/>
        <w:ind w:left="-284"/>
        <w:jc w:val="center"/>
        <w:rPr>
          <w:rFonts w:ascii="Century Gothic" w:hAnsi="Century Gothic"/>
          <w:bCs/>
          <w:i/>
          <w:sz w:val="16"/>
          <w:szCs w:val="19"/>
        </w:rPr>
      </w:pPr>
      <w:r w:rsidRPr="00296E53">
        <w:rPr>
          <w:noProof/>
        </w:rPr>
        <w:drawing>
          <wp:inline distT="0" distB="0" distL="0" distR="0" wp14:anchorId="04C7287A" wp14:editId="7AFC6230">
            <wp:extent cx="4583430" cy="275463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3430" cy="2754630"/>
                    </a:xfrm>
                    <a:prstGeom prst="rect">
                      <a:avLst/>
                    </a:prstGeom>
                    <a:noFill/>
                    <a:ln>
                      <a:noFill/>
                    </a:ln>
                  </pic:spPr>
                </pic:pic>
              </a:graphicData>
            </a:graphic>
          </wp:inline>
        </w:drawing>
      </w:r>
    </w:p>
    <w:p w14:paraId="67C40D17" w14:textId="55437024" w:rsidR="00F97296" w:rsidRPr="00296E53" w:rsidRDefault="00F97296" w:rsidP="00517E8F">
      <w:pPr>
        <w:spacing w:after="0" w:line="240" w:lineRule="auto"/>
        <w:ind w:left="2552" w:right="1926"/>
        <w:rPr>
          <w:rFonts w:ascii="Century Gothic" w:hAnsi="Century Gothic"/>
          <w:bCs/>
          <w:iCs/>
          <w:sz w:val="16"/>
          <w:szCs w:val="19"/>
        </w:rPr>
      </w:pPr>
      <w:r w:rsidRPr="00296E53">
        <w:rPr>
          <w:rFonts w:ascii="Century Gothic" w:hAnsi="Century Gothic"/>
          <w:bCs/>
          <w:iCs/>
          <w:sz w:val="16"/>
          <w:szCs w:val="19"/>
        </w:rPr>
        <w:t xml:space="preserve">Elaboración propia con base en los ciclos de programa registrados en el calendario de difusión de cada año y los registros de los metadatos disponibles en la Red Nacional de Metadatos y del Centro </w:t>
      </w:r>
      <w:r w:rsidR="002B035B">
        <w:rPr>
          <w:rFonts w:ascii="Century Gothic" w:hAnsi="Century Gothic"/>
          <w:bCs/>
          <w:iCs/>
          <w:sz w:val="16"/>
          <w:szCs w:val="19"/>
        </w:rPr>
        <w:t>Distribuidor</w:t>
      </w:r>
      <w:r w:rsidRPr="00296E53">
        <w:rPr>
          <w:rFonts w:ascii="Century Gothic" w:hAnsi="Century Gothic"/>
          <w:bCs/>
          <w:iCs/>
          <w:sz w:val="16"/>
          <w:szCs w:val="19"/>
        </w:rPr>
        <w:t xml:space="preserve"> de Metadatos (geográficos).</w:t>
      </w:r>
    </w:p>
    <w:p w14:paraId="673715AD" w14:textId="77777777" w:rsidR="00F97296" w:rsidRPr="00296E53" w:rsidRDefault="00F97296" w:rsidP="00F97296">
      <w:pPr>
        <w:spacing w:after="0" w:line="240" w:lineRule="auto"/>
        <w:ind w:left="-284"/>
        <w:jc w:val="center"/>
        <w:rPr>
          <w:rFonts w:ascii="Century Gothic" w:hAnsi="Century Gothic"/>
          <w:bCs/>
          <w:iCs/>
          <w:sz w:val="16"/>
          <w:szCs w:val="19"/>
        </w:rPr>
      </w:pPr>
    </w:p>
    <w:p w14:paraId="47478462" w14:textId="77777777" w:rsidR="00517E8F" w:rsidRPr="00296E53" w:rsidRDefault="00517E8F" w:rsidP="00F97296">
      <w:pPr>
        <w:spacing w:after="0" w:line="240" w:lineRule="auto"/>
        <w:ind w:left="-284"/>
        <w:jc w:val="center"/>
        <w:rPr>
          <w:rFonts w:ascii="Century Gothic" w:hAnsi="Century Gothic"/>
          <w:bCs/>
          <w:iCs/>
          <w:sz w:val="16"/>
          <w:szCs w:val="19"/>
        </w:rPr>
      </w:pPr>
    </w:p>
    <w:p w14:paraId="1DAE8B14" w14:textId="04B52705" w:rsidR="00F97296" w:rsidRPr="00296E53" w:rsidRDefault="00F97296" w:rsidP="00F97296">
      <w:pPr>
        <w:spacing w:after="0" w:line="240" w:lineRule="auto"/>
        <w:jc w:val="both"/>
        <w:rPr>
          <w:rFonts w:ascii="Century Gothic" w:hAnsi="Century Gothic"/>
          <w:bCs/>
          <w:iCs/>
          <w:sz w:val="20"/>
          <w:szCs w:val="20"/>
        </w:rPr>
      </w:pPr>
      <w:r w:rsidRPr="00296E53">
        <w:rPr>
          <w:rFonts w:ascii="Century Gothic" w:hAnsi="Century Gothic"/>
          <w:bCs/>
          <w:iCs/>
          <w:sz w:val="20"/>
          <w:szCs w:val="20"/>
        </w:rPr>
        <w:t xml:space="preserve">La disminución en el porcentaje de los ciclos de programas de información que publicaron resultados acompañados de metadatos estandarizados se </w:t>
      </w:r>
      <w:r w:rsidR="00704F4F" w:rsidRPr="00296E53">
        <w:rPr>
          <w:rFonts w:ascii="Century Gothic" w:hAnsi="Century Gothic"/>
          <w:bCs/>
          <w:iCs/>
          <w:sz w:val="20"/>
          <w:szCs w:val="20"/>
        </w:rPr>
        <w:t>debe a</w:t>
      </w:r>
      <w:r w:rsidRPr="00296E53">
        <w:rPr>
          <w:rFonts w:ascii="Century Gothic" w:hAnsi="Century Gothic"/>
          <w:bCs/>
          <w:iCs/>
          <w:sz w:val="20"/>
          <w:szCs w:val="20"/>
        </w:rPr>
        <w:t xml:space="preserve"> la publicación de ciclos de Programa </w:t>
      </w:r>
      <w:r w:rsidR="00704F4F" w:rsidRPr="00296E53">
        <w:rPr>
          <w:rFonts w:ascii="Century Gothic" w:hAnsi="Century Gothic"/>
          <w:bCs/>
          <w:iCs/>
          <w:sz w:val="20"/>
          <w:szCs w:val="20"/>
        </w:rPr>
        <w:t>fuera de calendario</w:t>
      </w:r>
      <w:r w:rsidR="00077D19" w:rsidRPr="00296E53">
        <w:rPr>
          <w:rFonts w:ascii="Century Gothic" w:hAnsi="Century Gothic"/>
          <w:bCs/>
          <w:iCs/>
          <w:sz w:val="20"/>
          <w:szCs w:val="20"/>
        </w:rPr>
        <w:t>,</w:t>
      </w:r>
      <w:r w:rsidR="00704F4F" w:rsidRPr="00296E53">
        <w:rPr>
          <w:rFonts w:ascii="Century Gothic" w:hAnsi="Century Gothic"/>
          <w:bCs/>
          <w:iCs/>
          <w:sz w:val="20"/>
          <w:szCs w:val="20"/>
        </w:rPr>
        <w:t xml:space="preserve"> así como por </w:t>
      </w:r>
      <w:r w:rsidRPr="00296E53">
        <w:rPr>
          <w:rFonts w:ascii="Century Gothic" w:hAnsi="Century Gothic"/>
          <w:bCs/>
          <w:iCs/>
          <w:sz w:val="20"/>
          <w:szCs w:val="20"/>
        </w:rPr>
        <w:t>los</w:t>
      </w:r>
      <w:r w:rsidR="002B09C6" w:rsidRPr="00296E53">
        <w:rPr>
          <w:rFonts w:ascii="Century Gothic" w:hAnsi="Century Gothic"/>
          <w:bCs/>
          <w:iCs/>
          <w:sz w:val="20"/>
          <w:szCs w:val="20"/>
        </w:rPr>
        <w:t xml:space="preserve"> nuevos</w:t>
      </w:r>
      <w:r w:rsidRPr="00296E53">
        <w:rPr>
          <w:rFonts w:ascii="Century Gothic" w:hAnsi="Century Gothic"/>
          <w:bCs/>
          <w:iCs/>
          <w:sz w:val="20"/>
          <w:szCs w:val="20"/>
        </w:rPr>
        <w:t xml:space="preserve"> programas de información que se ejecutaron para atender las necesidades de información derivadas de la emergencia sanitaria del COVID-19.</w:t>
      </w:r>
    </w:p>
    <w:p w14:paraId="4C1A522F" w14:textId="77777777" w:rsidR="003704AF" w:rsidRPr="00296E53" w:rsidRDefault="003704AF" w:rsidP="003704AF">
      <w:pPr>
        <w:spacing w:before="240"/>
        <w:jc w:val="both"/>
        <w:rPr>
          <w:rFonts w:ascii="Century Gothic" w:eastAsia="Calibri" w:hAnsi="Century Gothic"/>
          <w:b/>
          <w:color w:val="002060"/>
          <w:spacing w:val="-1"/>
        </w:rPr>
      </w:pPr>
      <w:r w:rsidRPr="00296E53">
        <w:rPr>
          <w:rFonts w:ascii="Century Gothic" w:eastAsia="Calibri" w:hAnsi="Century Gothic"/>
          <w:b/>
          <w:color w:val="002060"/>
          <w:spacing w:val="-1"/>
        </w:rPr>
        <w:br w:type="page"/>
      </w:r>
    </w:p>
    <w:p w14:paraId="28CFBFB3" w14:textId="77777777" w:rsidR="009669C3" w:rsidRPr="00296E53" w:rsidRDefault="009669C3" w:rsidP="009669C3">
      <w:pPr>
        <w:spacing w:after="0"/>
        <w:jc w:val="right"/>
        <w:rPr>
          <w:rFonts w:ascii="Century Gothic" w:hAnsi="Century Gothic"/>
        </w:rPr>
      </w:pPr>
      <w:r w:rsidRPr="00296E53">
        <w:rPr>
          <w:rFonts w:cstheme="minorHAnsi"/>
          <w:color w:val="0079BF"/>
          <w:sz w:val="36"/>
          <w:szCs w:val="144"/>
        </w:rPr>
        <w:t>ANEXO 5</w:t>
      </w:r>
    </w:p>
    <w:tbl>
      <w:tblPr>
        <w:tblW w:w="16307" w:type="dxa"/>
        <w:tblInd w:w="-1139" w:type="dxa"/>
        <w:tblLook w:val="04A0" w:firstRow="1" w:lastRow="0" w:firstColumn="1" w:lastColumn="0" w:noHBand="0" w:noVBand="1"/>
      </w:tblPr>
      <w:tblGrid>
        <w:gridCol w:w="7518"/>
        <w:gridCol w:w="8789"/>
      </w:tblGrid>
      <w:tr w:rsidR="009669C3" w:rsidRPr="00296E53" w14:paraId="6886A397" w14:textId="77777777" w:rsidTr="00365D05">
        <w:trPr>
          <w:trHeight w:val="201"/>
        </w:trPr>
        <w:tc>
          <w:tcPr>
            <w:tcW w:w="7518" w:type="dxa"/>
            <w:shd w:val="clear" w:color="auto" w:fill="1F3864" w:themeFill="accent5" w:themeFillShade="80"/>
          </w:tcPr>
          <w:p w14:paraId="44F9FBB6" w14:textId="77777777" w:rsidR="009669C3" w:rsidRPr="00296E53" w:rsidRDefault="009669C3" w:rsidP="00365D05">
            <w:pPr>
              <w:rPr>
                <w:rFonts w:cstheme="minorHAnsi"/>
                <w:color w:val="FFFFFF" w:themeColor="background1"/>
                <w:sz w:val="2"/>
                <w:szCs w:val="18"/>
              </w:rPr>
            </w:pPr>
          </w:p>
        </w:tc>
        <w:tc>
          <w:tcPr>
            <w:tcW w:w="8789" w:type="dxa"/>
            <w:shd w:val="clear" w:color="auto" w:fill="auto"/>
          </w:tcPr>
          <w:p w14:paraId="453A4C1C" w14:textId="77777777" w:rsidR="009669C3" w:rsidRPr="00296E53" w:rsidRDefault="009669C3" w:rsidP="00365D05">
            <w:pPr>
              <w:rPr>
                <w:rFonts w:cstheme="minorHAnsi"/>
                <w:color w:val="FFFFFF" w:themeColor="background1"/>
                <w:sz w:val="2"/>
                <w:szCs w:val="18"/>
              </w:rPr>
            </w:pPr>
          </w:p>
        </w:tc>
      </w:tr>
      <w:tr w:rsidR="009669C3" w:rsidRPr="00296E53" w14:paraId="6FF35FB1" w14:textId="77777777" w:rsidTr="00365D05">
        <w:trPr>
          <w:trHeight w:val="201"/>
        </w:trPr>
        <w:tc>
          <w:tcPr>
            <w:tcW w:w="7518" w:type="dxa"/>
            <w:shd w:val="clear" w:color="auto" w:fill="0079BF"/>
          </w:tcPr>
          <w:p w14:paraId="103EB465" w14:textId="77777777" w:rsidR="009669C3" w:rsidRPr="00296E53" w:rsidRDefault="009669C3" w:rsidP="00365D05">
            <w:pPr>
              <w:rPr>
                <w:rFonts w:cstheme="minorHAnsi"/>
                <w:color w:val="FFFFFF" w:themeColor="background1"/>
                <w:sz w:val="2"/>
                <w:szCs w:val="18"/>
              </w:rPr>
            </w:pPr>
          </w:p>
        </w:tc>
        <w:tc>
          <w:tcPr>
            <w:tcW w:w="8789" w:type="dxa"/>
            <w:shd w:val="clear" w:color="auto" w:fill="0079BF"/>
          </w:tcPr>
          <w:p w14:paraId="509B46AE" w14:textId="77777777" w:rsidR="009669C3" w:rsidRPr="00296E53" w:rsidRDefault="009669C3" w:rsidP="00365D05">
            <w:pPr>
              <w:rPr>
                <w:rFonts w:cstheme="minorHAnsi"/>
                <w:color w:val="FFFFFF" w:themeColor="background1"/>
                <w:sz w:val="2"/>
                <w:szCs w:val="18"/>
              </w:rPr>
            </w:pPr>
          </w:p>
        </w:tc>
      </w:tr>
    </w:tbl>
    <w:p w14:paraId="66AB0B60" w14:textId="77777777" w:rsidR="009669C3" w:rsidRPr="00296E53" w:rsidRDefault="009669C3" w:rsidP="009669C3">
      <w:pPr>
        <w:spacing w:after="120"/>
        <w:rPr>
          <w:rFonts w:ascii="Century Gothic" w:hAnsi="Century Gothic"/>
          <w:b/>
          <w:sz w:val="18"/>
        </w:rPr>
      </w:pPr>
    </w:p>
    <w:p w14:paraId="4AE0484D" w14:textId="77777777" w:rsidR="001962C5" w:rsidRPr="00296E53" w:rsidRDefault="001962C5" w:rsidP="001962C5">
      <w:pPr>
        <w:keepNext/>
        <w:keepLines/>
        <w:spacing w:before="240" w:after="0"/>
        <w:jc w:val="both"/>
        <w:outlineLvl w:val="0"/>
        <w:rPr>
          <w:rFonts w:ascii="Century Gothic" w:hAnsi="Century Gothic"/>
          <w:b/>
        </w:rPr>
      </w:pPr>
      <w:bookmarkStart w:id="23" w:name="_Toc65502232"/>
      <w:r w:rsidRPr="00296E53">
        <w:rPr>
          <w:rFonts w:ascii="Century Gothic" w:hAnsi="Century Gothic"/>
          <w:b/>
        </w:rPr>
        <w:t xml:space="preserve">Anexo 5: Indicadores de Precisión y confiabilidad </w:t>
      </w:r>
      <w:r w:rsidR="00B603E7" w:rsidRPr="00296E53">
        <w:rPr>
          <w:rFonts w:ascii="Century Gothic" w:hAnsi="Century Gothic"/>
          <w:b/>
        </w:rPr>
        <w:t xml:space="preserve">para </w:t>
      </w:r>
      <w:r w:rsidRPr="00296E53">
        <w:rPr>
          <w:rFonts w:ascii="Century Gothic" w:hAnsi="Century Gothic"/>
          <w:b/>
        </w:rPr>
        <w:t>programa</w:t>
      </w:r>
      <w:r w:rsidR="00B603E7" w:rsidRPr="00296E53">
        <w:rPr>
          <w:rFonts w:ascii="Century Gothic" w:hAnsi="Century Gothic"/>
          <w:b/>
        </w:rPr>
        <w:t>s de información</w:t>
      </w:r>
      <w:r w:rsidRPr="00296E53">
        <w:rPr>
          <w:rFonts w:ascii="Century Gothic" w:hAnsi="Century Gothic"/>
          <w:b/>
        </w:rPr>
        <w:t xml:space="preserve"> cuyo único insumo son registros administrativos</w:t>
      </w:r>
      <w:bookmarkEnd w:id="23"/>
    </w:p>
    <w:p w14:paraId="1942976E" w14:textId="77777777" w:rsidR="001962C5" w:rsidRPr="00296E53" w:rsidRDefault="001962C5" w:rsidP="001962C5">
      <w:pPr>
        <w:spacing w:after="120"/>
        <w:rPr>
          <w:rFonts w:ascii="Century Gothic" w:hAnsi="Century Gothic"/>
          <w:sz w:val="19"/>
          <w:szCs w:val="19"/>
        </w:rPr>
      </w:pPr>
    </w:p>
    <w:p w14:paraId="2AB80831" w14:textId="77777777" w:rsidR="001962C5" w:rsidRPr="00296E53" w:rsidRDefault="001962C5" w:rsidP="001962C5">
      <w:pPr>
        <w:spacing w:after="120"/>
        <w:jc w:val="both"/>
        <w:rPr>
          <w:rFonts w:ascii="Century Gothic" w:hAnsi="Century Gothic"/>
          <w:sz w:val="19"/>
          <w:szCs w:val="19"/>
        </w:rPr>
      </w:pPr>
      <w:r w:rsidRPr="00296E53">
        <w:rPr>
          <w:rFonts w:ascii="Century Gothic" w:hAnsi="Century Gothic"/>
          <w:sz w:val="19"/>
          <w:szCs w:val="19"/>
        </w:rPr>
        <w:t>En 2019</w:t>
      </w:r>
      <w:r w:rsidR="00B603E7" w:rsidRPr="00296E53">
        <w:rPr>
          <w:rFonts w:ascii="Century Gothic" w:hAnsi="Century Gothic"/>
          <w:sz w:val="19"/>
          <w:szCs w:val="19"/>
        </w:rPr>
        <w:t>, el Comité de Aseguramiento de la Calidad (</w:t>
      </w:r>
      <w:proofErr w:type="spellStart"/>
      <w:r w:rsidR="00B603E7" w:rsidRPr="00296E53">
        <w:rPr>
          <w:rFonts w:ascii="Century Gothic" w:hAnsi="Century Gothic"/>
          <w:sz w:val="19"/>
          <w:szCs w:val="19"/>
        </w:rPr>
        <w:t>CoAC</w:t>
      </w:r>
      <w:proofErr w:type="spellEnd"/>
      <w:r w:rsidR="00B603E7" w:rsidRPr="00296E53">
        <w:rPr>
          <w:rFonts w:ascii="Century Gothic" w:hAnsi="Century Gothic"/>
          <w:sz w:val="19"/>
          <w:szCs w:val="19"/>
        </w:rPr>
        <w:t>)</w:t>
      </w:r>
      <w:r w:rsidRPr="00296E53">
        <w:rPr>
          <w:rFonts w:ascii="Century Gothic" w:hAnsi="Century Gothic"/>
          <w:sz w:val="19"/>
          <w:szCs w:val="19"/>
        </w:rPr>
        <w:t xml:space="preserve"> aprob</w:t>
      </w:r>
      <w:r w:rsidR="00B603E7" w:rsidRPr="00296E53">
        <w:rPr>
          <w:rFonts w:ascii="Century Gothic" w:hAnsi="Century Gothic"/>
          <w:sz w:val="19"/>
          <w:szCs w:val="19"/>
        </w:rPr>
        <w:t>ó</w:t>
      </w:r>
      <w:r w:rsidRPr="00296E53">
        <w:rPr>
          <w:rFonts w:ascii="Century Gothic" w:hAnsi="Century Gothic"/>
          <w:sz w:val="19"/>
          <w:szCs w:val="19"/>
        </w:rPr>
        <w:t xml:space="preserve"> tres indicadores de precisión para los programas de información cuyo insumo son registros administrativos. Para entender la conceptualización de estos indicadores conviene revisar algunos conceptos generales:</w:t>
      </w:r>
    </w:p>
    <w:tbl>
      <w:tblPr>
        <w:tblW w:w="0" w:type="auto"/>
        <w:tblInd w:w="-147" w:type="dxa"/>
        <w:tblLook w:val="04A0" w:firstRow="1" w:lastRow="0" w:firstColumn="1" w:lastColumn="0" w:noHBand="0" w:noVBand="1"/>
      </w:tblPr>
      <w:tblGrid>
        <w:gridCol w:w="2552"/>
        <w:gridCol w:w="11912"/>
      </w:tblGrid>
      <w:tr w:rsidR="003B192E" w:rsidRPr="00296E53" w14:paraId="6B4B89C7" w14:textId="77777777" w:rsidTr="00B51EDD">
        <w:tc>
          <w:tcPr>
            <w:tcW w:w="2552" w:type="dxa"/>
          </w:tcPr>
          <w:p w14:paraId="711F003D" w14:textId="77777777" w:rsidR="003B192E" w:rsidRPr="00296E53" w:rsidRDefault="003B192E" w:rsidP="003B192E">
            <w:pPr>
              <w:spacing w:before="120" w:after="120"/>
              <w:rPr>
                <w:rFonts w:ascii="Century Gothic" w:hAnsi="Century Gothic"/>
                <w:sz w:val="19"/>
                <w:szCs w:val="19"/>
              </w:rPr>
            </w:pPr>
            <w:r w:rsidRPr="00296E53">
              <w:rPr>
                <w:rFonts w:ascii="Century Gothic" w:hAnsi="Century Gothic"/>
                <w:b/>
                <w:sz w:val="19"/>
                <w:szCs w:val="19"/>
              </w:rPr>
              <w:t>Registro administrativo</w:t>
            </w:r>
            <w:r w:rsidRPr="00296E53">
              <w:rPr>
                <w:rFonts w:ascii="Century Gothic" w:hAnsi="Century Gothic"/>
                <w:sz w:val="19"/>
                <w:szCs w:val="19"/>
              </w:rPr>
              <w:t>:</w:t>
            </w:r>
          </w:p>
        </w:tc>
        <w:tc>
          <w:tcPr>
            <w:tcW w:w="11912" w:type="dxa"/>
          </w:tcPr>
          <w:p w14:paraId="4D590617" w14:textId="77777777" w:rsidR="003B192E" w:rsidRPr="00296E53" w:rsidRDefault="003B192E" w:rsidP="003B192E">
            <w:pPr>
              <w:spacing w:before="120" w:after="120"/>
              <w:jc w:val="both"/>
              <w:rPr>
                <w:rFonts w:ascii="Century Gothic" w:hAnsi="Century Gothic"/>
                <w:sz w:val="19"/>
                <w:szCs w:val="19"/>
              </w:rPr>
            </w:pPr>
            <w:r w:rsidRPr="00296E53">
              <w:rPr>
                <w:rFonts w:ascii="Century Gothic" w:hAnsi="Century Gothic"/>
                <w:sz w:val="19"/>
                <w:szCs w:val="19"/>
              </w:rPr>
              <w:t>Conjunto de Datos que fueron generados con fines operacionales o como parte de las funciones de una institución pública o privada sobre un tipo de objeto, sujeto, acción, hecho o evento, y obtenidos sistemáticamente con base en un formato específico ya sea impreso, digital u otro y bajo un marco de funciones y facultades formalmente establecidas en instrumentos jurídicos o reglamentarios (Norma MPEG).</w:t>
            </w:r>
          </w:p>
        </w:tc>
      </w:tr>
      <w:tr w:rsidR="003B192E" w:rsidRPr="00296E53" w14:paraId="235A987F" w14:textId="77777777" w:rsidTr="00B51EDD">
        <w:tc>
          <w:tcPr>
            <w:tcW w:w="2552" w:type="dxa"/>
          </w:tcPr>
          <w:p w14:paraId="4BF186F0" w14:textId="77777777" w:rsidR="003B192E" w:rsidRPr="00296E53" w:rsidRDefault="003B192E" w:rsidP="003B192E">
            <w:pPr>
              <w:spacing w:before="120" w:after="120"/>
              <w:rPr>
                <w:rFonts w:ascii="Century Gothic" w:hAnsi="Century Gothic"/>
                <w:sz w:val="19"/>
                <w:szCs w:val="19"/>
              </w:rPr>
            </w:pPr>
            <w:r w:rsidRPr="00296E53">
              <w:rPr>
                <w:rFonts w:ascii="Century Gothic" w:hAnsi="Century Gothic"/>
                <w:b/>
                <w:sz w:val="19"/>
                <w:szCs w:val="19"/>
              </w:rPr>
              <w:t>Proveedor de información</w:t>
            </w:r>
            <w:r w:rsidRPr="00296E53">
              <w:rPr>
                <w:rFonts w:ascii="Century Gothic" w:hAnsi="Century Gothic"/>
                <w:sz w:val="19"/>
                <w:szCs w:val="19"/>
              </w:rPr>
              <w:t>:</w:t>
            </w:r>
          </w:p>
        </w:tc>
        <w:tc>
          <w:tcPr>
            <w:tcW w:w="11912" w:type="dxa"/>
          </w:tcPr>
          <w:p w14:paraId="0BD2718B" w14:textId="77777777" w:rsidR="003B192E" w:rsidRPr="00296E53" w:rsidRDefault="003B192E" w:rsidP="003B192E">
            <w:pPr>
              <w:spacing w:before="120" w:after="120"/>
              <w:jc w:val="both"/>
              <w:rPr>
                <w:rFonts w:ascii="Century Gothic" w:hAnsi="Century Gothic"/>
                <w:sz w:val="19"/>
                <w:szCs w:val="19"/>
              </w:rPr>
            </w:pPr>
            <w:r w:rsidRPr="00296E53">
              <w:rPr>
                <w:rFonts w:ascii="Century Gothic" w:hAnsi="Century Gothic"/>
                <w:sz w:val="19"/>
                <w:szCs w:val="19"/>
              </w:rPr>
              <w:t>Individuo o institución pública o privada que proporciona datos de un conjunto de unidades (por ejemplo, registros administrativos) a través de un Protocolo de Intercambio. Para algunos programas de información, el proveedor de información es una instancia concentradora de varios registros administrativos y, en otros casos los proveedores son varias instancias que recopilan directamente la información de las unidades.</w:t>
            </w:r>
          </w:p>
        </w:tc>
      </w:tr>
      <w:tr w:rsidR="003B192E" w:rsidRPr="00296E53" w14:paraId="5B9265FE" w14:textId="77777777" w:rsidTr="00B51EDD">
        <w:tc>
          <w:tcPr>
            <w:tcW w:w="2552" w:type="dxa"/>
          </w:tcPr>
          <w:p w14:paraId="6599000C" w14:textId="77777777" w:rsidR="003B192E" w:rsidRPr="00296E53" w:rsidRDefault="003B192E" w:rsidP="003B192E">
            <w:pPr>
              <w:spacing w:before="120" w:after="120"/>
              <w:rPr>
                <w:rFonts w:ascii="Century Gothic" w:hAnsi="Century Gothic"/>
                <w:sz w:val="19"/>
                <w:szCs w:val="19"/>
              </w:rPr>
            </w:pPr>
            <w:r w:rsidRPr="00296E53">
              <w:rPr>
                <w:rFonts w:ascii="Century Gothic" w:hAnsi="Century Gothic"/>
                <w:b/>
                <w:sz w:val="19"/>
                <w:szCs w:val="19"/>
              </w:rPr>
              <w:t>Población</w:t>
            </w:r>
            <w:r w:rsidRPr="00296E53">
              <w:rPr>
                <w:rFonts w:ascii="Century Gothic" w:hAnsi="Century Gothic"/>
                <w:sz w:val="19"/>
                <w:szCs w:val="19"/>
              </w:rPr>
              <w:t>:</w:t>
            </w:r>
          </w:p>
        </w:tc>
        <w:tc>
          <w:tcPr>
            <w:tcW w:w="11912" w:type="dxa"/>
          </w:tcPr>
          <w:p w14:paraId="39A3CA3D" w14:textId="77777777" w:rsidR="003B192E" w:rsidRPr="00296E53" w:rsidRDefault="003B192E" w:rsidP="003B192E">
            <w:pPr>
              <w:spacing w:before="120" w:after="120"/>
              <w:jc w:val="both"/>
              <w:rPr>
                <w:rFonts w:ascii="Century Gothic" w:hAnsi="Century Gothic"/>
                <w:sz w:val="19"/>
                <w:szCs w:val="19"/>
              </w:rPr>
            </w:pPr>
            <w:r w:rsidRPr="00296E53">
              <w:rPr>
                <w:rFonts w:ascii="Century Gothic" w:hAnsi="Century Gothic"/>
                <w:sz w:val="19"/>
                <w:szCs w:val="19"/>
              </w:rPr>
              <w:t>Conjunto de unidades pertenecientes a un grupo de personas, empresas, establecimientos, viviendas, o cualquier otro tipo de objetos, acciones o eventos, con base en ciertas características bien definidas, incluyendo límites sobre tiempo y espacio. (Norma MPEG).</w:t>
            </w:r>
          </w:p>
        </w:tc>
      </w:tr>
      <w:tr w:rsidR="003B192E" w:rsidRPr="00296E53" w14:paraId="22E22BD3" w14:textId="77777777" w:rsidTr="00B51EDD">
        <w:tc>
          <w:tcPr>
            <w:tcW w:w="2552" w:type="dxa"/>
          </w:tcPr>
          <w:p w14:paraId="1A5FA754" w14:textId="77777777" w:rsidR="003B192E" w:rsidRPr="00296E53" w:rsidRDefault="003B192E" w:rsidP="003B192E">
            <w:pPr>
              <w:spacing w:before="120" w:after="120"/>
              <w:rPr>
                <w:rFonts w:ascii="Century Gothic" w:hAnsi="Century Gothic"/>
                <w:sz w:val="19"/>
                <w:szCs w:val="19"/>
              </w:rPr>
            </w:pPr>
            <w:r w:rsidRPr="00296E53">
              <w:rPr>
                <w:rFonts w:ascii="Century Gothic" w:hAnsi="Century Gothic"/>
                <w:b/>
                <w:sz w:val="19"/>
                <w:szCs w:val="19"/>
              </w:rPr>
              <w:t>Población objetivo</w:t>
            </w:r>
            <w:r w:rsidRPr="00296E53">
              <w:rPr>
                <w:rFonts w:ascii="Century Gothic" w:hAnsi="Century Gothic"/>
                <w:sz w:val="19"/>
                <w:szCs w:val="19"/>
              </w:rPr>
              <w:t>:</w:t>
            </w:r>
          </w:p>
        </w:tc>
        <w:tc>
          <w:tcPr>
            <w:tcW w:w="11912" w:type="dxa"/>
          </w:tcPr>
          <w:p w14:paraId="62A30420" w14:textId="77777777" w:rsidR="003B192E" w:rsidRPr="00296E53" w:rsidRDefault="003B192E" w:rsidP="003B192E">
            <w:pPr>
              <w:spacing w:before="120" w:after="120"/>
              <w:jc w:val="both"/>
              <w:rPr>
                <w:rFonts w:ascii="Century Gothic" w:hAnsi="Century Gothic"/>
                <w:sz w:val="19"/>
                <w:szCs w:val="19"/>
              </w:rPr>
            </w:pPr>
            <w:r w:rsidRPr="00296E53">
              <w:rPr>
                <w:rFonts w:ascii="Century Gothic" w:hAnsi="Century Gothic"/>
                <w:sz w:val="19"/>
                <w:szCs w:val="19"/>
              </w:rPr>
              <w:t>Población para la cual se requiere realizar mediciones o representaciones de los conceptos; este conjunto contiene a todos los dominios de estudio.  Es decir, es la de interés estadístico, según el fenómeno que se quiere medir.</w:t>
            </w:r>
          </w:p>
        </w:tc>
      </w:tr>
      <w:tr w:rsidR="003B192E" w:rsidRPr="00296E53" w14:paraId="619A749A" w14:textId="77777777" w:rsidTr="00B51EDD">
        <w:tc>
          <w:tcPr>
            <w:tcW w:w="2552" w:type="dxa"/>
          </w:tcPr>
          <w:p w14:paraId="59B7FC37" w14:textId="77777777" w:rsidR="003B192E" w:rsidRPr="00296E53" w:rsidRDefault="003B192E" w:rsidP="003B192E">
            <w:pPr>
              <w:spacing w:before="120" w:after="120"/>
              <w:rPr>
                <w:rFonts w:ascii="Century Gothic" w:hAnsi="Century Gothic"/>
                <w:sz w:val="19"/>
                <w:szCs w:val="19"/>
              </w:rPr>
            </w:pPr>
            <w:r w:rsidRPr="00296E53">
              <w:rPr>
                <w:rFonts w:ascii="Century Gothic" w:hAnsi="Century Gothic"/>
                <w:b/>
                <w:sz w:val="19"/>
                <w:szCs w:val="19"/>
              </w:rPr>
              <w:t>Población de los registros administrativos</w:t>
            </w:r>
            <w:r w:rsidRPr="00296E53">
              <w:rPr>
                <w:rFonts w:ascii="Century Gothic" w:hAnsi="Century Gothic"/>
                <w:sz w:val="19"/>
                <w:szCs w:val="19"/>
              </w:rPr>
              <w:t>:</w:t>
            </w:r>
          </w:p>
        </w:tc>
        <w:tc>
          <w:tcPr>
            <w:tcW w:w="11912" w:type="dxa"/>
          </w:tcPr>
          <w:p w14:paraId="0253BD86" w14:textId="77777777" w:rsidR="003B192E" w:rsidRPr="00296E53" w:rsidRDefault="003B192E" w:rsidP="003B192E">
            <w:pPr>
              <w:spacing w:before="120" w:after="120"/>
              <w:jc w:val="both"/>
              <w:rPr>
                <w:rFonts w:ascii="Century Gothic" w:hAnsi="Century Gothic"/>
                <w:sz w:val="19"/>
                <w:szCs w:val="19"/>
              </w:rPr>
            </w:pPr>
            <w:r w:rsidRPr="00296E53">
              <w:rPr>
                <w:rFonts w:ascii="Century Gothic" w:hAnsi="Century Gothic"/>
                <w:sz w:val="19"/>
                <w:szCs w:val="19"/>
              </w:rPr>
              <w:t>Población de la cual existe información en forma nominativa o individualizada en los registros administrativos.  Es decir, es la población posible de captar mediante el registro administrativo.</w:t>
            </w:r>
          </w:p>
        </w:tc>
      </w:tr>
      <w:tr w:rsidR="003B192E" w:rsidRPr="00296E53" w14:paraId="25B99328" w14:textId="77777777" w:rsidTr="00B51EDD">
        <w:tc>
          <w:tcPr>
            <w:tcW w:w="2552" w:type="dxa"/>
          </w:tcPr>
          <w:p w14:paraId="7D781741" w14:textId="77777777" w:rsidR="003B192E" w:rsidRPr="00296E53" w:rsidRDefault="003B192E" w:rsidP="003B192E">
            <w:pPr>
              <w:spacing w:before="120" w:after="120"/>
              <w:rPr>
                <w:rFonts w:ascii="Century Gothic" w:hAnsi="Century Gothic"/>
                <w:sz w:val="19"/>
                <w:szCs w:val="19"/>
              </w:rPr>
            </w:pPr>
            <w:r w:rsidRPr="00296E53">
              <w:rPr>
                <w:rFonts w:ascii="Century Gothic" w:hAnsi="Century Gothic"/>
                <w:b/>
                <w:sz w:val="19"/>
                <w:szCs w:val="19"/>
              </w:rPr>
              <w:t>Dominio de estudio</w:t>
            </w:r>
            <w:r w:rsidRPr="00296E53">
              <w:rPr>
                <w:rFonts w:ascii="Century Gothic" w:hAnsi="Century Gothic"/>
                <w:sz w:val="19"/>
                <w:szCs w:val="19"/>
              </w:rPr>
              <w:t>:</w:t>
            </w:r>
          </w:p>
        </w:tc>
        <w:tc>
          <w:tcPr>
            <w:tcW w:w="11912" w:type="dxa"/>
          </w:tcPr>
          <w:p w14:paraId="03210B42" w14:textId="77777777" w:rsidR="003B192E" w:rsidRPr="00296E53" w:rsidRDefault="003B192E" w:rsidP="003B192E">
            <w:pPr>
              <w:spacing w:before="120" w:after="120"/>
              <w:jc w:val="both"/>
              <w:rPr>
                <w:rFonts w:ascii="Century Gothic" w:hAnsi="Century Gothic"/>
                <w:sz w:val="19"/>
                <w:szCs w:val="19"/>
              </w:rPr>
            </w:pPr>
            <w:r w:rsidRPr="00296E53">
              <w:rPr>
                <w:rFonts w:ascii="Century Gothic" w:hAnsi="Century Gothic"/>
                <w:sz w:val="19"/>
                <w:szCs w:val="19"/>
              </w:rPr>
              <w:t>Subconjunto de la población objetivo para el cual se requiere realizar mediciones o representaciones de los conceptos de forma separada (Norma MPEG). Una vez definida la población objetivo, un dominio de estudio corresponde a un subconjunto que está determinado por cuestiones temáticas, temporales o geográficas. Por ejemplo, los dominios de estudio asociados a: entidades federativas, sexo, grupos de edad, etc. En ocasiones los dominios de estudio son referidos como desagregaciones, agregaciones, subpoblaciones, etc.</w:t>
            </w:r>
          </w:p>
        </w:tc>
      </w:tr>
    </w:tbl>
    <w:p w14:paraId="5B4F3781" w14:textId="77777777" w:rsidR="001962C5" w:rsidRPr="00296E53" w:rsidRDefault="001962C5" w:rsidP="001962C5">
      <w:pPr>
        <w:spacing w:after="120"/>
        <w:jc w:val="both"/>
        <w:rPr>
          <w:rFonts w:ascii="Century Gothic" w:hAnsi="Century Gothic"/>
          <w:sz w:val="19"/>
          <w:szCs w:val="19"/>
        </w:rPr>
      </w:pPr>
      <w:r w:rsidRPr="00296E53">
        <w:rPr>
          <w:rFonts w:ascii="Century Gothic" w:hAnsi="Century Gothic"/>
          <w:sz w:val="19"/>
          <w:szCs w:val="19"/>
        </w:rPr>
        <w:t xml:space="preserve">Cuando a la población del registro le falta parte de la población objetivo se habla de que existe </w:t>
      </w:r>
      <w:proofErr w:type="spellStart"/>
      <w:r w:rsidRPr="00296E53">
        <w:rPr>
          <w:rFonts w:ascii="Century Gothic" w:hAnsi="Century Gothic"/>
          <w:sz w:val="19"/>
          <w:szCs w:val="19"/>
        </w:rPr>
        <w:t>subcobertura</w:t>
      </w:r>
      <w:proofErr w:type="spellEnd"/>
      <w:r w:rsidRPr="00296E53">
        <w:rPr>
          <w:rFonts w:ascii="Century Gothic" w:hAnsi="Century Gothic"/>
          <w:sz w:val="19"/>
          <w:szCs w:val="19"/>
        </w:rPr>
        <w:t xml:space="preserve">. Para conocer esta diferencia se requieren análisis especiales, por lo que no es posible definir un indicador único, sin embargo, es un análisis fundamental para determinar la pertinencia del programa.  Los indicadores que se aprobaron en el Comité de Aseguramiento de la Calidad no incluyen la </w:t>
      </w:r>
      <w:proofErr w:type="spellStart"/>
      <w:r w:rsidRPr="00296E53">
        <w:rPr>
          <w:rFonts w:ascii="Century Gothic" w:hAnsi="Century Gothic"/>
          <w:sz w:val="19"/>
          <w:szCs w:val="19"/>
        </w:rPr>
        <w:t>subcobertura</w:t>
      </w:r>
      <w:proofErr w:type="spellEnd"/>
      <w:r w:rsidRPr="00296E53">
        <w:rPr>
          <w:rFonts w:ascii="Century Gothic" w:hAnsi="Century Gothic"/>
          <w:sz w:val="19"/>
          <w:szCs w:val="19"/>
        </w:rPr>
        <w:t>, sino que se enfocan a medir la calidad a partir de la población del programa de registros administrativos.</w:t>
      </w:r>
    </w:p>
    <w:p w14:paraId="091135C5" w14:textId="77777777" w:rsidR="001962C5" w:rsidRPr="00296E53" w:rsidRDefault="001962C5" w:rsidP="001962C5">
      <w:pPr>
        <w:spacing w:after="120"/>
        <w:jc w:val="both"/>
        <w:rPr>
          <w:rFonts w:ascii="Century Gothic" w:hAnsi="Century Gothic"/>
          <w:b/>
          <w:sz w:val="19"/>
          <w:szCs w:val="19"/>
        </w:rPr>
      </w:pPr>
      <w:r w:rsidRPr="00296E53">
        <w:rPr>
          <w:rFonts w:ascii="Century Gothic" w:hAnsi="Century Gothic"/>
          <w:sz w:val="19"/>
          <w:szCs w:val="19"/>
        </w:rPr>
        <w:t>A continuación</w:t>
      </w:r>
      <w:r w:rsidR="00A86ED7" w:rsidRPr="00296E53">
        <w:rPr>
          <w:rFonts w:ascii="Century Gothic" w:hAnsi="Century Gothic"/>
          <w:sz w:val="19"/>
          <w:szCs w:val="19"/>
        </w:rPr>
        <w:t>,</w:t>
      </w:r>
      <w:r w:rsidRPr="00296E53">
        <w:rPr>
          <w:rFonts w:ascii="Century Gothic" w:hAnsi="Century Gothic"/>
          <w:sz w:val="19"/>
          <w:szCs w:val="19"/>
        </w:rPr>
        <w:t xml:space="preserve"> se describen los tres indicadores aprobados por el Comité de Aseguramiento de la Calidad en 2019.</w:t>
      </w:r>
    </w:p>
    <w:p w14:paraId="74487B3D" w14:textId="77777777" w:rsidR="001962C5" w:rsidRPr="00296E53" w:rsidRDefault="001962C5" w:rsidP="004C2C1D">
      <w:pPr>
        <w:numPr>
          <w:ilvl w:val="0"/>
          <w:numId w:val="9"/>
        </w:numPr>
        <w:spacing w:after="120"/>
        <w:ind w:left="284" w:hanging="284"/>
        <w:contextualSpacing/>
        <w:jc w:val="both"/>
        <w:rPr>
          <w:rFonts w:ascii="Century Gothic" w:hAnsi="Century Gothic"/>
          <w:b/>
          <w:sz w:val="19"/>
          <w:szCs w:val="19"/>
        </w:rPr>
      </w:pPr>
      <w:r w:rsidRPr="00296E53">
        <w:rPr>
          <w:rFonts w:ascii="Century Gothic" w:hAnsi="Century Gothic"/>
          <w:b/>
          <w:sz w:val="19"/>
          <w:szCs w:val="19"/>
        </w:rPr>
        <w:t xml:space="preserve">Tasa de </w:t>
      </w:r>
      <w:proofErr w:type="spellStart"/>
      <w:r w:rsidRPr="00296E53">
        <w:rPr>
          <w:rFonts w:ascii="Century Gothic" w:hAnsi="Century Gothic"/>
          <w:b/>
          <w:sz w:val="19"/>
          <w:szCs w:val="19"/>
        </w:rPr>
        <w:t>sobrecobertura</w:t>
      </w:r>
      <w:proofErr w:type="spellEnd"/>
    </w:p>
    <w:p w14:paraId="1BACC79A" w14:textId="77777777" w:rsidR="001962C5" w:rsidRPr="00296E53" w:rsidRDefault="001962C5" w:rsidP="001962C5">
      <w:pPr>
        <w:spacing w:after="120"/>
        <w:jc w:val="both"/>
        <w:rPr>
          <w:rFonts w:ascii="Century Gothic" w:hAnsi="Century Gothic"/>
          <w:sz w:val="19"/>
          <w:szCs w:val="19"/>
        </w:rPr>
      </w:pPr>
      <w:r w:rsidRPr="00296E53">
        <w:rPr>
          <w:rFonts w:ascii="Century Gothic" w:hAnsi="Century Gothic"/>
          <w:sz w:val="19"/>
          <w:szCs w:val="19"/>
        </w:rPr>
        <w:t>Esta tasa permite conocer qué tanto el registro administrativo que entregan los proveedores de información se apega a la población objetivo del programa. Para el cálculo de este indicador resulta útil responder la pregunta del siguiente diagrama:</w:t>
      </w:r>
    </w:p>
    <w:p w14:paraId="4E721CE9" w14:textId="77777777" w:rsidR="001962C5" w:rsidRPr="00296E53" w:rsidRDefault="00365D05" w:rsidP="001962C5">
      <w:pPr>
        <w:spacing w:after="120"/>
        <w:jc w:val="center"/>
        <w:rPr>
          <w:rFonts w:ascii="Century Gothic" w:hAnsi="Century Gothic"/>
          <w:b/>
          <w:sz w:val="19"/>
          <w:szCs w:val="19"/>
        </w:rPr>
      </w:pPr>
      <w:r w:rsidRPr="00296E53">
        <w:rPr>
          <w:noProof/>
          <w:lang w:eastAsia="es-MX"/>
        </w:rPr>
        <w:drawing>
          <wp:anchor distT="0" distB="0" distL="114300" distR="114300" simplePos="0" relativeHeight="251734016" behindDoc="0" locked="0" layoutInCell="1" allowOverlap="1" wp14:anchorId="5DA0C1FE" wp14:editId="7B3F0A1B">
            <wp:simplePos x="0" y="0"/>
            <wp:positionH relativeFrom="margin">
              <wp:posOffset>1793240</wp:posOffset>
            </wp:positionH>
            <wp:positionV relativeFrom="paragraph">
              <wp:posOffset>189865</wp:posOffset>
            </wp:positionV>
            <wp:extent cx="6230620" cy="97853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0620"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2C5" w:rsidRPr="00296E53">
        <w:rPr>
          <w:rFonts w:ascii="Century Gothic" w:hAnsi="Century Gothic"/>
          <w:b/>
          <w:sz w:val="19"/>
          <w:szCs w:val="19"/>
        </w:rPr>
        <w:t xml:space="preserve">A.5.1.  Pregunta relevante para la tasa de </w:t>
      </w:r>
      <w:proofErr w:type="spellStart"/>
      <w:r w:rsidR="001962C5" w:rsidRPr="00296E53">
        <w:rPr>
          <w:rFonts w:ascii="Century Gothic" w:hAnsi="Century Gothic"/>
          <w:b/>
          <w:sz w:val="19"/>
          <w:szCs w:val="19"/>
        </w:rPr>
        <w:t>sobrecobertura</w:t>
      </w:r>
      <w:proofErr w:type="spellEnd"/>
    </w:p>
    <w:p w14:paraId="0ACBF8CE" w14:textId="77777777" w:rsidR="001962C5" w:rsidRPr="00296E53" w:rsidRDefault="001962C5" w:rsidP="001962C5">
      <w:pPr>
        <w:spacing w:after="120"/>
        <w:jc w:val="center"/>
        <w:rPr>
          <w:rFonts w:ascii="Century Gothic" w:hAnsi="Century Gothic"/>
          <w:sz w:val="19"/>
          <w:szCs w:val="19"/>
        </w:rPr>
      </w:pPr>
      <w:r w:rsidRPr="00296E53">
        <w:rPr>
          <w:noProof/>
          <w:lang w:eastAsia="es-MX"/>
        </w:rPr>
        <w:drawing>
          <wp:inline distT="0" distB="0" distL="0" distR="0" wp14:anchorId="3C73B009" wp14:editId="3D35176C">
            <wp:extent cx="3775710" cy="1586054"/>
            <wp:effectExtent l="19050" t="19050" r="15240" b="146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3056" cy="1597541"/>
                    </a:xfrm>
                    <a:prstGeom prst="rect">
                      <a:avLst/>
                    </a:prstGeom>
                    <a:noFill/>
                    <a:ln w="12700">
                      <a:solidFill>
                        <a:srgbClr val="0079BF"/>
                      </a:solidFill>
                    </a:ln>
                  </pic:spPr>
                </pic:pic>
              </a:graphicData>
            </a:graphic>
          </wp:inline>
        </w:drawing>
      </w:r>
    </w:p>
    <w:p w14:paraId="4E14A85D" w14:textId="77777777" w:rsidR="001962C5" w:rsidRPr="00296E53" w:rsidRDefault="001962C5" w:rsidP="001962C5">
      <w:pPr>
        <w:jc w:val="both"/>
        <w:rPr>
          <w:rFonts w:ascii="Century Gothic" w:hAnsi="Century Gothic"/>
          <w:sz w:val="19"/>
          <w:szCs w:val="19"/>
        </w:rPr>
      </w:pPr>
      <w:r w:rsidRPr="00296E53">
        <w:rPr>
          <w:rFonts w:ascii="Century Gothic" w:hAnsi="Century Gothic"/>
          <w:sz w:val="19"/>
          <w:szCs w:val="19"/>
        </w:rPr>
        <w:t>Cabe señalar que los casos duplicados o las unidades que se consideraron fuera de la población objetivo que se utilizan para el cálculo de este indicador, se excluyen de los siguientes indicadores.</w:t>
      </w:r>
    </w:p>
    <w:p w14:paraId="098BD41A" w14:textId="77777777" w:rsidR="001962C5" w:rsidRPr="00296E53" w:rsidRDefault="001962C5" w:rsidP="004C2C1D">
      <w:pPr>
        <w:numPr>
          <w:ilvl w:val="0"/>
          <w:numId w:val="9"/>
        </w:numPr>
        <w:spacing w:after="120"/>
        <w:ind w:left="284" w:hanging="284"/>
        <w:contextualSpacing/>
        <w:jc w:val="both"/>
        <w:rPr>
          <w:rFonts w:ascii="Century Gothic" w:hAnsi="Century Gothic"/>
          <w:b/>
          <w:sz w:val="19"/>
          <w:szCs w:val="19"/>
        </w:rPr>
      </w:pPr>
      <w:r w:rsidRPr="00296E53">
        <w:rPr>
          <w:rFonts w:ascii="Century Gothic" w:hAnsi="Century Gothic"/>
          <w:b/>
          <w:sz w:val="19"/>
          <w:szCs w:val="19"/>
        </w:rPr>
        <w:t>Tasa de no respuesta a nivel unidad</w:t>
      </w:r>
    </w:p>
    <w:p w14:paraId="54549487" w14:textId="77777777" w:rsidR="001962C5" w:rsidRPr="00296E53" w:rsidRDefault="001962C5" w:rsidP="001962C5">
      <w:pPr>
        <w:jc w:val="both"/>
        <w:rPr>
          <w:rFonts w:ascii="Century Gothic" w:hAnsi="Century Gothic"/>
          <w:sz w:val="19"/>
          <w:szCs w:val="19"/>
        </w:rPr>
      </w:pPr>
      <w:r w:rsidRPr="00296E53">
        <w:rPr>
          <w:rFonts w:ascii="Century Gothic" w:hAnsi="Century Gothic"/>
          <w:sz w:val="19"/>
          <w:szCs w:val="19"/>
        </w:rPr>
        <w:t xml:space="preserve">El propósito de este indicador es hacer un análisis más fino, buscando conocer la información que le falta al registro administrativo a través de la estimación de los casos a los que no se tuvo acceso. Esto es, cuando el proveedor de la información no envió una parte de los datos o envió datos no admisibles, y el registro recibido está incompleto. En el siguiente diagrama se explica las distintas opciones que deben tomarse en cuenta para identificar la no respuesta a nivel de unidad. </w:t>
      </w:r>
    </w:p>
    <w:p w14:paraId="4BD2E9E4" w14:textId="77777777" w:rsidR="000A26A6" w:rsidRPr="00296E53" w:rsidRDefault="000A26A6" w:rsidP="001962C5">
      <w:pPr>
        <w:jc w:val="center"/>
        <w:rPr>
          <w:rFonts w:ascii="Century Gothic" w:hAnsi="Century Gothic"/>
          <w:b/>
          <w:sz w:val="19"/>
          <w:szCs w:val="19"/>
        </w:rPr>
      </w:pPr>
      <w:r w:rsidRPr="00296E53">
        <w:rPr>
          <w:noProof/>
          <w:lang w:eastAsia="es-MX"/>
        </w:rPr>
        <w:drawing>
          <wp:inline distT="0" distB="0" distL="0" distR="0" wp14:anchorId="38D04F05" wp14:editId="2A7442EB">
            <wp:extent cx="5704989" cy="414997"/>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4735" cy="425890"/>
                    </a:xfrm>
                    <a:prstGeom prst="rect">
                      <a:avLst/>
                    </a:prstGeom>
                    <a:noFill/>
                    <a:ln>
                      <a:noFill/>
                    </a:ln>
                  </pic:spPr>
                </pic:pic>
              </a:graphicData>
            </a:graphic>
          </wp:inline>
        </w:drawing>
      </w:r>
    </w:p>
    <w:p w14:paraId="7563AA6A" w14:textId="77777777" w:rsidR="000A26A6" w:rsidRPr="00296E53" w:rsidRDefault="000A26A6" w:rsidP="000A26A6">
      <w:pPr>
        <w:spacing w:after="0"/>
        <w:rPr>
          <w:rFonts w:ascii="Century Gothic" w:hAnsi="Century Gothic"/>
          <w:bCs/>
          <w:sz w:val="19"/>
          <w:szCs w:val="19"/>
        </w:rPr>
      </w:pPr>
      <w:r w:rsidRPr="00296E53">
        <w:rPr>
          <w:rFonts w:ascii="Century Gothic" w:hAnsi="Century Gothic"/>
          <w:bCs/>
          <w:sz w:val="19"/>
          <w:szCs w:val="19"/>
        </w:rPr>
        <w:t>Donde</w:t>
      </w:r>
    </w:p>
    <w:p w14:paraId="0B8D9581" w14:textId="77777777" w:rsidR="000A26A6" w:rsidRPr="00296E53" w:rsidRDefault="008D4663"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g1</m:t>
            </m:r>
          </m:sub>
        </m:sSub>
      </m:oMath>
      <w:r w:rsidR="000A26A6" w:rsidRPr="00296E53">
        <w:rPr>
          <w:rFonts w:ascii="Century Gothic" w:hAnsi="Century Gothic"/>
          <w:bCs/>
          <w:sz w:val="19"/>
          <w:szCs w:val="19"/>
        </w:rPr>
        <w:t xml:space="preserve"> es el número total de unidades contenidas en los registros administrativos que no fueron proporcionados por los proveedores de información,</w:t>
      </w:r>
    </w:p>
    <w:p w14:paraId="51AD260B" w14:textId="77777777" w:rsidR="000A26A6" w:rsidRPr="00296E53" w:rsidRDefault="008D4663"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g2</m:t>
            </m:r>
          </m:sub>
        </m:sSub>
      </m:oMath>
      <w:r w:rsidR="000A26A6" w:rsidRPr="00296E53">
        <w:rPr>
          <w:rFonts w:ascii="Century Gothic" w:hAnsi="Century Gothic"/>
          <w:bCs/>
          <w:sz w:val="19"/>
          <w:szCs w:val="19"/>
        </w:rPr>
        <w:t xml:space="preserve"> es el número total de unidades bien identificadas de las cuales no se captó información aun cuando se tuvo acceso a los registros administrativos,</w:t>
      </w:r>
    </w:p>
    <w:p w14:paraId="7A9945F7" w14:textId="77777777" w:rsidR="000A26A6" w:rsidRPr="00296E53" w:rsidRDefault="008D4663"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g3</m:t>
            </m:r>
          </m:sub>
        </m:sSub>
      </m:oMath>
      <w:r w:rsidR="000A26A6" w:rsidRPr="00296E53">
        <w:rPr>
          <w:rFonts w:ascii="Century Gothic" w:hAnsi="Century Gothic"/>
          <w:bCs/>
          <w:sz w:val="19"/>
          <w:szCs w:val="19"/>
        </w:rPr>
        <w:t xml:space="preserve"> es el número total de unidades de las cuales aun cuando no se sabe su identidad se infiere que faltan dado que en el registro administrativo están ausentes unidades correspondientes a cierto aspecto temporal o espacial (</w:t>
      </w:r>
      <w:proofErr w:type="spellStart"/>
      <w:r w:rsidR="000A26A6" w:rsidRPr="00296E53">
        <w:rPr>
          <w:rFonts w:ascii="Century Gothic" w:hAnsi="Century Gothic"/>
          <w:bCs/>
          <w:sz w:val="19"/>
          <w:szCs w:val="19"/>
        </w:rPr>
        <w:t>e.g</w:t>
      </w:r>
      <w:proofErr w:type="spellEnd"/>
      <w:r w:rsidR="000A26A6" w:rsidRPr="00296E53">
        <w:rPr>
          <w:rFonts w:ascii="Century Gothic" w:hAnsi="Century Gothic"/>
          <w:bCs/>
          <w:sz w:val="19"/>
          <w:szCs w:val="19"/>
        </w:rPr>
        <w:t>. faltó la información de uno de los doce meses)</w:t>
      </w:r>
    </w:p>
    <w:p w14:paraId="651E09FE" w14:textId="77777777" w:rsidR="000A26A6" w:rsidRPr="00296E53" w:rsidRDefault="008D4663"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g4</m:t>
            </m:r>
          </m:sub>
        </m:sSub>
      </m:oMath>
      <w:r w:rsidR="000A26A6" w:rsidRPr="00296E53">
        <w:rPr>
          <w:rFonts w:ascii="Century Gothic" w:hAnsi="Century Gothic"/>
          <w:bCs/>
          <w:sz w:val="19"/>
          <w:szCs w:val="19"/>
        </w:rPr>
        <w:t xml:space="preserve"> es el número total de unidades en los registros administrativos a los que se tuvo acceso con información no admisible en al menos una variable</w:t>
      </w:r>
    </w:p>
    <w:p w14:paraId="4C723974" w14:textId="77777777" w:rsidR="000A26A6" w:rsidRPr="00296E53" w:rsidRDefault="008D4663"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g5</m:t>
            </m:r>
          </m:sub>
        </m:sSub>
      </m:oMath>
      <w:r w:rsidR="000A26A6" w:rsidRPr="00296E53">
        <w:rPr>
          <w:rFonts w:ascii="Century Gothic" w:hAnsi="Century Gothic"/>
          <w:bCs/>
          <w:sz w:val="19"/>
          <w:szCs w:val="19"/>
        </w:rPr>
        <w:t xml:space="preserve"> es el número total de unidades en los registros administrativos a los que se tuvo acceso con información admisible en todas las variables</w:t>
      </w:r>
    </w:p>
    <w:p w14:paraId="5512EB5C" w14:textId="77777777" w:rsidR="000A26A6" w:rsidRPr="00296E53" w:rsidRDefault="000A26A6" w:rsidP="000A26A6">
      <w:pPr>
        <w:spacing w:after="0"/>
        <w:rPr>
          <w:rFonts w:ascii="Century Gothic" w:hAnsi="Century Gothic"/>
          <w:bCs/>
          <w:sz w:val="19"/>
          <w:szCs w:val="19"/>
        </w:rPr>
      </w:pPr>
      <w:r w:rsidRPr="00296E53">
        <w:rPr>
          <w:rFonts w:ascii="Century Gothic" w:hAnsi="Century Gothic"/>
          <w:bCs/>
          <w:sz w:val="19"/>
          <w:szCs w:val="19"/>
        </w:rPr>
        <w:t xml:space="preserve">Nota. Para realizar el cálculo se eliminan los casos considerados como </w:t>
      </w:r>
      <w:proofErr w:type="spellStart"/>
      <w:r w:rsidRPr="00296E53">
        <w:rPr>
          <w:rFonts w:ascii="Century Gothic" w:hAnsi="Century Gothic"/>
          <w:bCs/>
          <w:sz w:val="19"/>
          <w:szCs w:val="19"/>
        </w:rPr>
        <w:t>sobrecobertura</w:t>
      </w:r>
      <w:proofErr w:type="spellEnd"/>
      <w:r w:rsidRPr="00296E53">
        <w:rPr>
          <w:rFonts w:ascii="Century Gothic" w:hAnsi="Century Gothic"/>
          <w:bCs/>
          <w:sz w:val="19"/>
          <w:szCs w:val="19"/>
        </w:rPr>
        <w:t xml:space="preserve"> incluyendo duplicados.</w:t>
      </w:r>
    </w:p>
    <w:p w14:paraId="51DC088E" w14:textId="77777777" w:rsidR="00B51EDD" w:rsidRPr="00296E53" w:rsidRDefault="00B51EDD" w:rsidP="00B51EDD">
      <w:pPr>
        <w:jc w:val="center"/>
        <w:rPr>
          <w:rFonts w:ascii="Century Gothic" w:hAnsi="Century Gothic"/>
          <w:b/>
          <w:sz w:val="19"/>
          <w:szCs w:val="19"/>
        </w:rPr>
      </w:pPr>
    </w:p>
    <w:p w14:paraId="01410B27" w14:textId="77777777" w:rsidR="00B51EDD" w:rsidRPr="00296E53" w:rsidRDefault="00B51EDD" w:rsidP="00B51EDD">
      <w:pPr>
        <w:jc w:val="center"/>
        <w:rPr>
          <w:rFonts w:ascii="Century Gothic" w:hAnsi="Century Gothic"/>
          <w:b/>
          <w:sz w:val="19"/>
          <w:szCs w:val="19"/>
        </w:rPr>
      </w:pPr>
      <w:r w:rsidRPr="00296E53">
        <w:rPr>
          <w:rFonts w:ascii="Century Gothic" w:hAnsi="Century Gothic"/>
          <w:b/>
          <w:sz w:val="19"/>
          <w:szCs w:val="19"/>
        </w:rPr>
        <w:t>A.5.2. Componentes de la no respuesta a nivel unidad</w:t>
      </w:r>
    </w:p>
    <w:p w14:paraId="3755894C" w14:textId="77777777" w:rsidR="00FB0E7C" w:rsidRPr="00296E53" w:rsidRDefault="00FB0E7C" w:rsidP="00FB0E7C">
      <w:pPr>
        <w:spacing w:after="0"/>
        <w:jc w:val="center"/>
        <w:rPr>
          <w:rFonts w:ascii="Century Gothic" w:hAnsi="Century Gothic"/>
          <w:bCs/>
          <w:sz w:val="19"/>
          <w:szCs w:val="19"/>
        </w:rPr>
      </w:pPr>
      <w:r w:rsidRPr="00296E53">
        <w:rPr>
          <w:noProof/>
          <w:lang w:eastAsia="es-MX"/>
        </w:rPr>
        <w:drawing>
          <wp:inline distT="0" distB="0" distL="0" distR="0" wp14:anchorId="4937EB84" wp14:editId="0152FEFF">
            <wp:extent cx="5145343" cy="3080825"/>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0805" cy="3102058"/>
                    </a:xfrm>
                    <a:prstGeom prst="rect">
                      <a:avLst/>
                    </a:prstGeom>
                    <a:noFill/>
                    <a:ln>
                      <a:noFill/>
                    </a:ln>
                  </pic:spPr>
                </pic:pic>
              </a:graphicData>
            </a:graphic>
          </wp:inline>
        </w:drawing>
      </w:r>
    </w:p>
    <w:p w14:paraId="6780EFF1" w14:textId="77777777" w:rsidR="00FB0E7C" w:rsidRPr="00296E53" w:rsidRDefault="00FB0E7C" w:rsidP="000A26A6">
      <w:pPr>
        <w:spacing w:after="0"/>
        <w:rPr>
          <w:rFonts w:ascii="Century Gothic" w:hAnsi="Century Gothic"/>
          <w:bCs/>
          <w:sz w:val="19"/>
          <w:szCs w:val="19"/>
        </w:rPr>
      </w:pPr>
    </w:p>
    <w:p w14:paraId="5881D2DB" w14:textId="77777777" w:rsidR="001962C5" w:rsidRPr="00296E53" w:rsidRDefault="001962C5" w:rsidP="004C2C1D">
      <w:pPr>
        <w:numPr>
          <w:ilvl w:val="0"/>
          <w:numId w:val="9"/>
        </w:numPr>
        <w:spacing w:after="120"/>
        <w:ind w:left="284" w:hanging="284"/>
        <w:contextualSpacing/>
        <w:jc w:val="both"/>
        <w:rPr>
          <w:rFonts w:ascii="Century Gothic" w:hAnsi="Century Gothic"/>
          <w:b/>
          <w:sz w:val="19"/>
          <w:szCs w:val="19"/>
        </w:rPr>
      </w:pPr>
      <w:r w:rsidRPr="00296E53">
        <w:rPr>
          <w:rFonts w:ascii="Century Gothic" w:hAnsi="Century Gothic"/>
          <w:b/>
          <w:sz w:val="19"/>
          <w:szCs w:val="19"/>
        </w:rPr>
        <w:t>Tasa de no respuesta a nivel variable</w:t>
      </w:r>
    </w:p>
    <w:p w14:paraId="07830164" w14:textId="77777777" w:rsidR="001962C5" w:rsidRPr="00296E53" w:rsidRDefault="001962C5" w:rsidP="00E70D96">
      <w:pPr>
        <w:spacing w:after="120"/>
        <w:jc w:val="both"/>
        <w:rPr>
          <w:rFonts w:ascii="Century Gothic" w:hAnsi="Century Gothic"/>
          <w:sz w:val="19"/>
          <w:szCs w:val="19"/>
        </w:rPr>
      </w:pPr>
      <w:r w:rsidRPr="00296E53">
        <w:rPr>
          <w:rFonts w:ascii="Century Gothic" w:hAnsi="Century Gothic"/>
          <w:sz w:val="19"/>
          <w:szCs w:val="19"/>
        </w:rPr>
        <w:t>Para realizar el cálculo de la tasa de no respuesta a nivel variable, no se consideran los duplicados, la información que se identificó como fuera de la población objetivo y las unidades con información no admisible, es decir, solo se incluye la información admisible.</w:t>
      </w:r>
    </w:p>
    <w:p w14:paraId="47D90709" w14:textId="77777777" w:rsidR="001962C5" w:rsidRPr="00296E53" w:rsidRDefault="001962C5" w:rsidP="00C76B88">
      <w:pPr>
        <w:spacing w:after="120"/>
        <w:jc w:val="both"/>
        <w:rPr>
          <w:rFonts w:ascii="Century Gothic" w:hAnsi="Century Gothic"/>
          <w:sz w:val="19"/>
          <w:szCs w:val="19"/>
        </w:rPr>
      </w:pPr>
      <w:r w:rsidRPr="00296E53">
        <w:rPr>
          <w:rFonts w:ascii="Century Gothic" w:hAnsi="Century Gothic"/>
          <w:sz w:val="19"/>
          <w:szCs w:val="19"/>
        </w:rPr>
        <w:t>Con lo anterior, se busca determinar si a nivel variable falta información del fenómeno a medir en la base de datos final. La pregunta relevante para este caso debe realizarse para cada una de las variables:</w:t>
      </w:r>
    </w:p>
    <w:p w14:paraId="6BEFB677" w14:textId="77777777" w:rsidR="000A26A6" w:rsidRPr="00296E53" w:rsidRDefault="000A26A6" w:rsidP="00264237">
      <w:pPr>
        <w:spacing w:after="120"/>
        <w:jc w:val="both"/>
        <w:rPr>
          <w:rFonts w:ascii="Century Gothic" w:hAnsi="Century Gothic"/>
          <w:sz w:val="19"/>
          <w:szCs w:val="19"/>
        </w:rPr>
      </w:pPr>
      <w:r w:rsidRPr="00296E53">
        <w:rPr>
          <w:rFonts w:ascii="Century Gothic" w:hAnsi="Century Gothic"/>
          <w:sz w:val="19"/>
          <w:szCs w:val="19"/>
        </w:rPr>
        <w:t xml:space="preserve">Para una variable </w:t>
      </w:r>
      <w:r w:rsidRPr="00296E53">
        <w:rPr>
          <w:rFonts w:ascii="Cambria Math" w:hAnsi="Cambria Math" w:cs="Cambria Math"/>
          <w:sz w:val="19"/>
          <w:szCs w:val="19"/>
        </w:rPr>
        <w:t>𝑍</w:t>
      </w:r>
      <w:r w:rsidRPr="00296E53">
        <w:rPr>
          <w:rFonts w:ascii="Century Gothic" w:hAnsi="Century Gothic"/>
          <w:sz w:val="19"/>
          <w:szCs w:val="19"/>
        </w:rPr>
        <w:t xml:space="preserve"> se consideran sólo las unidades donde se requiere información de ésta, de manera que para un dominio de estudio </w:t>
      </w:r>
      <w:r w:rsidRPr="00296E53">
        <w:rPr>
          <w:rFonts w:ascii="Cambria Math" w:hAnsi="Cambria Math" w:cs="Cambria Math"/>
          <w:sz w:val="19"/>
          <w:szCs w:val="19"/>
        </w:rPr>
        <w:t>𝑔</w:t>
      </w:r>
      <w:r w:rsidRPr="00296E53">
        <w:rPr>
          <w:rFonts w:ascii="Century Gothic" w:hAnsi="Century Gothic"/>
          <w:sz w:val="19"/>
          <w:szCs w:val="19"/>
        </w:rPr>
        <w:t xml:space="preserve"> se calcula como:</w:t>
      </w:r>
    </w:p>
    <w:p w14:paraId="6637D708" w14:textId="77777777" w:rsidR="000A26A6" w:rsidRPr="00296E53" w:rsidRDefault="007825C1" w:rsidP="007825C1">
      <w:pPr>
        <w:spacing w:after="120"/>
        <w:jc w:val="center"/>
        <w:rPr>
          <w:rFonts w:ascii="Century Gothic" w:hAnsi="Century Gothic"/>
          <w:sz w:val="19"/>
          <w:szCs w:val="19"/>
        </w:rPr>
      </w:pPr>
      <w:r w:rsidRPr="00296E53">
        <w:rPr>
          <w:noProof/>
          <w:lang w:eastAsia="es-MX"/>
        </w:rPr>
        <w:drawing>
          <wp:inline distT="0" distB="0" distL="0" distR="0" wp14:anchorId="680D4085" wp14:editId="5F711DE2">
            <wp:extent cx="2377440" cy="4076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7440" cy="407670"/>
                    </a:xfrm>
                    <a:prstGeom prst="rect">
                      <a:avLst/>
                    </a:prstGeom>
                    <a:noFill/>
                    <a:ln>
                      <a:noFill/>
                    </a:ln>
                  </pic:spPr>
                </pic:pic>
              </a:graphicData>
            </a:graphic>
          </wp:inline>
        </w:drawing>
      </w:r>
    </w:p>
    <w:p w14:paraId="07414C04" w14:textId="77777777" w:rsidR="007825C1" w:rsidRPr="00296E53" w:rsidRDefault="007825C1" w:rsidP="007825C1">
      <w:pPr>
        <w:spacing w:after="0"/>
        <w:jc w:val="both"/>
        <w:rPr>
          <w:rFonts w:ascii="Century Gothic" w:hAnsi="Century Gothic"/>
          <w:sz w:val="19"/>
          <w:szCs w:val="19"/>
        </w:rPr>
      </w:pPr>
      <w:r w:rsidRPr="00296E53">
        <w:rPr>
          <w:rFonts w:ascii="Century Gothic" w:hAnsi="Century Gothic"/>
          <w:sz w:val="19"/>
          <w:szCs w:val="19"/>
        </w:rPr>
        <w:t>Donde</w:t>
      </w:r>
      <w:r w:rsidR="008C68F2" w:rsidRPr="00296E53">
        <w:rPr>
          <w:rFonts w:ascii="Century Gothic" w:hAnsi="Century Gothic"/>
          <w:sz w:val="19"/>
          <w:szCs w:val="19"/>
        </w:rPr>
        <w:t>:</w:t>
      </w:r>
    </w:p>
    <w:p w14:paraId="6F0DDD76" w14:textId="77777777" w:rsidR="007825C1" w:rsidRPr="00296E53" w:rsidRDefault="007825C1" w:rsidP="007825C1">
      <w:pPr>
        <w:spacing w:after="0"/>
        <w:jc w:val="both"/>
        <w:rPr>
          <w:rFonts w:ascii="Century Gothic" w:hAnsi="Century Gothic"/>
          <w:sz w:val="19"/>
          <w:szCs w:val="19"/>
        </w:rPr>
      </w:pPr>
      <w:r w:rsidRPr="00296E53">
        <w:rPr>
          <w:rFonts w:ascii="Cambria Math" w:hAnsi="Cambria Math" w:cs="Cambria Math"/>
          <w:sz w:val="19"/>
          <w:szCs w:val="19"/>
        </w:rPr>
        <w:t>𝑁</w:t>
      </w:r>
      <w:r w:rsidRPr="00296E53">
        <w:rPr>
          <w:rFonts w:ascii="Century Gothic" w:hAnsi="Century Gothic"/>
          <w:sz w:val="19"/>
          <w:szCs w:val="19"/>
        </w:rPr>
        <w:t>_</w:t>
      </w:r>
      <w:r w:rsidRPr="00296E53">
        <w:rPr>
          <w:rFonts w:ascii="Cambria Math" w:hAnsi="Cambria Math" w:cs="Cambria Math"/>
          <w:sz w:val="19"/>
          <w:szCs w:val="19"/>
        </w:rPr>
        <w:t>𝑍𝑔</w:t>
      </w:r>
      <w:r w:rsidRPr="00296E53">
        <w:rPr>
          <w:rFonts w:ascii="Century Gothic" w:hAnsi="Century Gothic"/>
          <w:sz w:val="19"/>
          <w:szCs w:val="19"/>
        </w:rPr>
        <w:t xml:space="preserve">1 es el número total de unidades en donde en la variable </w:t>
      </w:r>
      <w:r w:rsidRPr="00296E53">
        <w:rPr>
          <w:rFonts w:ascii="Cambria Math" w:hAnsi="Cambria Math" w:cs="Cambria Math"/>
          <w:sz w:val="19"/>
          <w:szCs w:val="19"/>
        </w:rPr>
        <w:t>𝑍</w:t>
      </w:r>
      <w:r w:rsidRPr="00296E53">
        <w:rPr>
          <w:rFonts w:ascii="Century Gothic" w:hAnsi="Century Gothic"/>
          <w:sz w:val="19"/>
          <w:szCs w:val="19"/>
        </w:rPr>
        <w:t xml:space="preserve"> no hay información o ésta desde un inicio corresponde a un código de no respuesta,</w:t>
      </w:r>
    </w:p>
    <w:p w14:paraId="01F5F7EC" w14:textId="77777777" w:rsidR="007825C1" w:rsidRPr="00296E53" w:rsidRDefault="007825C1" w:rsidP="007825C1">
      <w:pPr>
        <w:spacing w:after="0"/>
        <w:jc w:val="both"/>
        <w:rPr>
          <w:rFonts w:ascii="Century Gothic" w:hAnsi="Century Gothic"/>
          <w:sz w:val="19"/>
          <w:szCs w:val="19"/>
        </w:rPr>
      </w:pPr>
      <w:r w:rsidRPr="00296E53">
        <w:rPr>
          <w:rFonts w:ascii="Cambria Math" w:hAnsi="Cambria Math" w:cs="Cambria Math"/>
          <w:sz w:val="19"/>
          <w:szCs w:val="19"/>
        </w:rPr>
        <w:t>𝑁</w:t>
      </w:r>
      <w:r w:rsidRPr="00296E53">
        <w:rPr>
          <w:rFonts w:ascii="Century Gothic" w:hAnsi="Century Gothic"/>
          <w:sz w:val="19"/>
          <w:szCs w:val="19"/>
        </w:rPr>
        <w:t>_</w:t>
      </w:r>
      <w:r w:rsidRPr="00296E53">
        <w:rPr>
          <w:rFonts w:ascii="Cambria Math" w:hAnsi="Cambria Math" w:cs="Cambria Math"/>
          <w:sz w:val="19"/>
          <w:szCs w:val="19"/>
        </w:rPr>
        <w:t>𝑍𝑔</w:t>
      </w:r>
      <w:r w:rsidRPr="00296E53">
        <w:rPr>
          <w:rFonts w:ascii="Century Gothic" w:hAnsi="Century Gothic"/>
          <w:sz w:val="19"/>
          <w:szCs w:val="19"/>
        </w:rPr>
        <w:t xml:space="preserve">2 es el número total de unidades en donde en la variable </w:t>
      </w:r>
      <w:r w:rsidRPr="00296E53">
        <w:rPr>
          <w:rFonts w:ascii="Cambria Math" w:hAnsi="Cambria Math" w:cs="Cambria Math"/>
          <w:sz w:val="19"/>
          <w:szCs w:val="19"/>
        </w:rPr>
        <w:t>𝑍</w:t>
      </w:r>
      <w:r w:rsidRPr="00296E53">
        <w:rPr>
          <w:rFonts w:ascii="Century Gothic" w:hAnsi="Century Gothic"/>
          <w:sz w:val="19"/>
          <w:szCs w:val="19"/>
        </w:rPr>
        <w:t xml:space="preserve"> hay información diferente a un código de no respuesta, pero al realizar la codificación, validación o edición se define como no respuesta,</w:t>
      </w:r>
    </w:p>
    <w:p w14:paraId="5434DC8B" w14:textId="77777777" w:rsidR="000A26A6" w:rsidRPr="00296E53" w:rsidRDefault="007825C1" w:rsidP="007825C1">
      <w:pPr>
        <w:spacing w:after="0"/>
        <w:jc w:val="both"/>
        <w:rPr>
          <w:rFonts w:ascii="Century Gothic" w:hAnsi="Century Gothic"/>
          <w:sz w:val="19"/>
          <w:szCs w:val="19"/>
        </w:rPr>
      </w:pPr>
      <w:r w:rsidRPr="00296E53">
        <w:rPr>
          <w:rFonts w:ascii="Cambria Math" w:hAnsi="Cambria Math" w:cs="Cambria Math"/>
          <w:sz w:val="19"/>
          <w:szCs w:val="19"/>
        </w:rPr>
        <w:t>𝑁</w:t>
      </w:r>
      <w:r w:rsidRPr="00296E53">
        <w:rPr>
          <w:rFonts w:ascii="Century Gothic" w:hAnsi="Century Gothic"/>
          <w:sz w:val="19"/>
          <w:szCs w:val="19"/>
        </w:rPr>
        <w:t>_</w:t>
      </w:r>
      <w:r w:rsidRPr="00296E53">
        <w:rPr>
          <w:rFonts w:ascii="Cambria Math" w:hAnsi="Cambria Math" w:cs="Cambria Math"/>
          <w:sz w:val="19"/>
          <w:szCs w:val="19"/>
        </w:rPr>
        <w:t>𝑍𝑔</w:t>
      </w:r>
      <w:r w:rsidRPr="00296E53">
        <w:rPr>
          <w:rFonts w:ascii="Century Gothic" w:hAnsi="Century Gothic"/>
          <w:sz w:val="19"/>
          <w:szCs w:val="19"/>
        </w:rPr>
        <w:t xml:space="preserve"> es el número total de unidades donde se requiere información de la variable </w:t>
      </w:r>
      <w:r w:rsidRPr="00296E53">
        <w:rPr>
          <w:rFonts w:ascii="Cambria Math" w:hAnsi="Cambria Math" w:cs="Cambria Math"/>
          <w:sz w:val="19"/>
          <w:szCs w:val="19"/>
        </w:rPr>
        <w:t>𝑍</w:t>
      </w:r>
    </w:p>
    <w:p w14:paraId="0AFDA91A" w14:textId="77777777" w:rsidR="000A26A6" w:rsidRPr="00296E53" w:rsidRDefault="000A26A6" w:rsidP="001962C5">
      <w:pPr>
        <w:jc w:val="center"/>
        <w:rPr>
          <w:rFonts w:ascii="Century Gothic" w:hAnsi="Century Gothic"/>
          <w:sz w:val="19"/>
          <w:szCs w:val="19"/>
        </w:rPr>
      </w:pPr>
    </w:p>
    <w:p w14:paraId="404D0471" w14:textId="77777777" w:rsidR="00B51EDD" w:rsidRPr="00296E53" w:rsidRDefault="00B51EDD" w:rsidP="001962C5">
      <w:pPr>
        <w:jc w:val="center"/>
        <w:rPr>
          <w:rFonts w:ascii="Century Gothic" w:hAnsi="Century Gothic"/>
          <w:b/>
          <w:sz w:val="19"/>
          <w:szCs w:val="19"/>
        </w:rPr>
      </w:pPr>
      <w:r w:rsidRPr="00296E53">
        <w:rPr>
          <w:rFonts w:ascii="Century Gothic" w:hAnsi="Century Gothic"/>
          <w:b/>
          <w:sz w:val="19"/>
          <w:szCs w:val="19"/>
        </w:rPr>
        <w:t>A.5.3. Pregunta relevante para la tasa de no respuesta a nivel variable</w:t>
      </w:r>
    </w:p>
    <w:p w14:paraId="65B02D27" w14:textId="77777777" w:rsidR="00264237" w:rsidRPr="00296E53" w:rsidRDefault="00264237" w:rsidP="001962C5">
      <w:pPr>
        <w:jc w:val="center"/>
        <w:rPr>
          <w:rFonts w:ascii="Century Gothic" w:hAnsi="Century Gothic"/>
          <w:sz w:val="19"/>
          <w:szCs w:val="19"/>
        </w:rPr>
      </w:pPr>
      <w:r w:rsidRPr="00296E53">
        <w:rPr>
          <w:noProof/>
          <w:lang w:eastAsia="es-MX"/>
        </w:rPr>
        <w:drawing>
          <wp:inline distT="0" distB="0" distL="0" distR="0" wp14:anchorId="11945E2A" wp14:editId="03ED3CCA">
            <wp:extent cx="6761115" cy="1976687"/>
            <wp:effectExtent l="0" t="0" r="1905"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73279" cy="2009479"/>
                    </a:xfrm>
                    <a:prstGeom prst="rect">
                      <a:avLst/>
                    </a:prstGeom>
                    <a:noFill/>
                    <a:ln>
                      <a:noFill/>
                    </a:ln>
                  </pic:spPr>
                </pic:pic>
              </a:graphicData>
            </a:graphic>
          </wp:inline>
        </w:drawing>
      </w:r>
    </w:p>
    <w:p w14:paraId="32C123A9" w14:textId="77777777" w:rsidR="001962C5" w:rsidRPr="00296E53" w:rsidRDefault="001962C5" w:rsidP="001962C5">
      <w:pPr>
        <w:spacing w:after="120"/>
        <w:jc w:val="center"/>
        <w:rPr>
          <w:rFonts w:ascii="Century Gothic" w:hAnsi="Century Gothic"/>
          <w:sz w:val="19"/>
          <w:szCs w:val="19"/>
        </w:rPr>
      </w:pPr>
    </w:p>
    <w:p w14:paraId="3681D2DA" w14:textId="77777777" w:rsidR="001962C5" w:rsidRPr="00296E53" w:rsidRDefault="001962C5" w:rsidP="001962C5">
      <w:pPr>
        <w:spacing w:after="100"/>
        <w:jc w:val="both"/>
        <w:rPr>
          <w:rFonts w:ascii="Century Gothic" w:hAnsi="Century Gothic"/>
          <w:sz w:val="19"/>
          <w:szCs w:val="19"/>
        </w:rPr>
      </w:pPr>
      <w:r w:rsidRPr="00296E53">
        <w:rPr>
          <w:rFonts w:ascii="Century Gothic" w:hAnsi="Century Gothic"/>
          <w:sz w:val="19"/>
          <w:szCs w:val="19"/>
        </w:rPr>
        <w:t xml:space="preserve">En la segunda sesión 2019 del </w:t>
      </w:r>
      <w:proofErr w:type="spellStart"/>
      <w:r w:rsidRPr="00296E53">
        <w:rPr>
          <w:rFonts w:ascii="Century Gothic" w:hAnsi="Century Gothic"/>
          <w:sz w:val="19"/>
          <w:szCs w:val="19"/>
        </w:rPr>
        <w:t>C</w:t>
      </w:r>
      <w:r w:rsidR="009E5FB8" w:rsidRPr="00296E53">
        <w:rPr>
          <w:rFonts w:ascii="Century Gothic" w:hAnsi="Century Gothic"/>
          <w:sz w:val="19"/>
          <w:szCs w:val="19"/>
        </w:rPr>
        <w:t>o</w:t>
      </w:r>
      <w:r w:rsidRPr="00296E53">
        <w:rPr>
          <w:rFonts w:ascii="Century Gothic" w:hAnsi="Century Gothic"/>
          <w:sz w:val="19"/>
          <w:szCs w:val="19"/>
        </w:rPr>
        <w:t>AC</w:t>
      </w:r>
      <w:proofErr w:type="spellEnd"/>
      <w:r w:rsidRPr="00296E53">
        <w:rPr>
          <w:rFonts w:ascii="Century Gothic" w:hAnsi="Century Gothic"/>
          <w:sz w:val="19"/>
          <w:szCs w:val="19"/>
        </w:rPr>
        <w:t>, mediante el acuerdo</w:t>
      </w:r>
      <w:r w:rsidRPr="00296E53">
        <w:rPr>
          <w:sz w:val="19"/>
          <w:szCs w:val="19"/>
        </w:rPr>
        <w:t xml:space="preserve"> </w:t>
      </w:r>
      <w:r w:rsidRPr="00296E53">
        <w:rPr>
          <w:rFonts w:ascii="Century Gothic" w:hAnsi="Century Gothic"/>
          <w:sz w:val="19"/>
          <w:szCs w:val="19"/>
        </w:rPr>
        <w:t>CAC-004/02/2019, se aprobaron tres indicadores de uso interno, para ser reportados en los metadatos por los responsables de programas de registros administrativos a partir del segundo semestre de 2019</w:t>
      </w:r>
      <w:r w:rsidR="00E70D96" w:rsidRPr="00296E53">
        <w:rPr>
          <w:rFonts w:ascii="Century Gothic" w:hAnsi="Century Gothic"/>
          <w:sz w:val="19"/>
          <w:szCs w:val="19"/>
        </w:rPr>
        <w:t>,</w:t>
      </w:r>
      <w:r w:rsidRPr="00296E53">
        <w:rPr>
          <w:rFonts w:ascii="Century Gothic" w:hAnsi="Century Gothic"/>
          <w:sz w:val="19"/>
          <w:szCs w:val="19"/>
        </w:rPr>
        <w:t xml:space="preserve"> considerando los siguientes puntos:</w:t>
      </w:r>
    </w:p>
    <w:p w14:paraId="2D82C179" w14:textId="77777777" w:rsidR="001962C5" w:rsidRPr="00296E53" w:rsidRDefault="001962C5" w:rsidP="004C2C1D">
      <w:pPr>
        <w:numPr>
          <w:ilvl w:val="0"/>
          <w:numId w:val="12"/>
        </w:numPr>
        <w:spacing w:after="100"/>
        <w:ind w:left="567" w:hanging="283"/>
        <w:contextualSpacing/>
        <w:jc w:val="both"/>
        <w:rPr>
          <w:rFonts w:ascii="Century Gothic" w:hAnsi="Century Gothic"/>
          <w:sz w:val="19"/>
          <w:szCs w:val="19"/>
        </w:rPr>
      </w:pPr>
      <w:r w:rsidRPr="00296E53">
        <w:rPr>
          <w:rFonts w:ascii="Century Gothic" w:hAnsi="Century Gothic"/>
          <w:sz w:val="19"/>
          <w:szCs w:val="19"/>
        </w:rPr>
        <w:t>el reporte se debe realizar a más tardar a los 30 días naturales contados a partir de la publicación de la información del Programa;</w:t>
      </w:r>
    </w:p>
    <w:p w14:paraId="0C45155A" w14:textId="77777777" w:rsidR="001962C5" w:rsidRPr="00296E53" w:rsidRDefault="001962C5" w:rsidP="004C2C1D">
      <w:pPr>
        <w:numPr>
          <w:ilvl w:val="0"/>
          <w:numId w:val="12"/>
        </w:numPr>
        <w:spacing w:after="100"/>
        <w:ind w:left="567" w:hanging="283"/>
        <w:contextualSpacing/>
        <w:jc w:val="both"/>
        <w:rPr>
          <w:rFonts w:ascii="Century Gothic" w:hAnsi="Century Gothic"/>
          <w:sz w:val="19"/>
          <w:szCs w:val="19"/>
        </w:rPr>
      </w:pPr>
      <w:r w:rsidRPr="00296E53">
        <w:rPr>
          <w:rFonts w:ascii="Century Gothic" w:hAnsi="Century Gothic"/>
          <w:sz w:val="19"/>
          <w:szCs w:val="19"/>
        </w:rPr>
        <w:t>se debe usar el formato definido en el Grupo de Trabajo;</w:t>
      </w:r>
    </w:p>
    <w:p w14:paraId="5150E1BB" w14:textId="77777777" w:rsidR="001962C5" w:rsidRPr="00296E53" w:rsidRDefault="001962C5" w:rsidP="004C2C1D">
      <w:pPr>
        <w:numPr>
          <w:ilvl w:val="0"/>
          <w:numId w:val="12"/>
        </w:numPr>
        <w:spacing w:after="100"/>
        <w:ind w:left="567" w:hanging="283"/>
        <w:contextualSpacing/>
        <w:jc w:val="both"/>
        <w:rPr>
          <w:rFonts w:ascii="Century Gothic" w:hAnsi="Century Gothic"/>
          <w:sz w:val="19"/>
          <w:szCs w:val="19"/>
        </w:rPr>
      </w:pPr>
      <w:r w:rsidRPr="00296E53">
        <w:rPr>
          <w:rFonts w:ascii="Century Gothic" w:hAnsi="Century Gothic"/>
          <w:sz w:val="19"/>
          <w:szCs w:val="19"/>
        </w:rPr>
        <w:t>en el caso de la Tasa de No Respuesta a Nivel Unidad, para cada programa se incluye en la sección de metadatos una nota técnica explicando el algoritmo específico usado para su cálculo.</w:t>
      </w:r>
    </w:p>
    <w:p w14:paraId="26F09A14" w14:textId="77777777" w:rsidR="001962C5" w:rsidRPr="00296E53" w:rsidRDefault="001962C5" w:rsidP="009E5FB8">
      <w:pPr>
        <w:spacing w:after="100"/>
        <w:ind w:left="567"/>
        <w:contextualSpacing/>
        <w:jc w:val="both"/>
        <w:rPr>
          <w:rFonts w:ascii="Century Gothic" w:hAnsi="Century Gothic"/>
          <w:sz w:val="19"/>
          <w:szCs w:val="19"/>
        </w:rPr>
      </w:pPr>
    </w:p>
    <w:p w14:paraId="7753AE41" w14:textId="6D00506C" w:rsidR="00AF2E4A" w:rsidRPr="00296E53" w:rsidRDefault="00365D05" w:rsidP="00AF2E4A">
      <w:pPr>
        <w:spacing w:after="100"/>
        <w:jc w:val="both"/>
        <w:rPr>
          <w:rFonts w:ascii="Century Gothic" w:hAnsi="Century Gothic"/>
          <w:sz w:val="19"/>
          <w:szCs w:val="19"/>
        </w:rPr>
      </w:pPr>
      <w:r w:rsidRPr="00296E53">
        <w:rPr>
          <w:rFonts w:ascii="Century Gothic" w:hAnsi="Century Gothic"/>
          <w:sz w:val="19"/>
          <w:szCs w:val="19"/>
        </w:rPr>
        <w:t xml:space="preserve">Al 31 de diciembre de 2020, 40 ciclos de Programas de Información cuyas fuentes son solo Registros Administrativos, han publicado resultados; de éstos, el </w:t>
      </w:r>
      <w:r w:rsidR="0022003B">
        <w:rPr>
          <w:rFonts w:ascii="Century Gothic" w:hAnsi="Century Gothic"/>
          <w:sz w:val="19"/>
          <w:szCs w:val="19"/>
        </w:rPr>
        <w:t>86</w:t>
      </w:r>
      <w:r w:rsidRPr="00296E53">
        <w:rPr>
          <w:rFonts w:ascii="Century Gothic" w:hAnsi="Century Gothic"/>
          <w:sz w:val="19"/>
          <w:szCs w:val="19"/>
        </w:rPr>
        <w:t xml:space="preserve">% reportaron en sus metadatos los </w:t>
      </w:r>
      <w:r w:rsidR="004B500A" w:rsidRPr="00296E53">
        <w:rPr>
          <w:rFonts w:ascii="Century Gothic" w:hAnsi="Century Gothic"/>
          <w:sz w:val="19"/>
          <w:szCs w:val="19"/>
        </w:rPr>
        <w:t>i</w:t>
      </w:r>
      <w:r w:rsidRPr="00296E53">
        <w:rPr>
          <w:rFonts w:ascii="Century Gothic" w:hAnsi="Century Gothic"/>
          <w:sz w:val="19"/>
          <w:szCs w:val="19"/>
        </w:rPr>
        <w:t xml:space="preserve">ndicadores de </w:t>
      </w:r>
      <w:r w:rsidR="004B500A" w:rsidRPr="00296E53">
        <w:rPr>
          <w:rFonts w:ascii="Century Gothic" w:hAnsi="Century Gothic"/>
          <w:sz w:val="19"/>
          <w:szCs w:val="19"/>
        </w:rPr>
        <w:t>p</w:t>
      </w:r>
      <w:r w:rsidRPr="00296E53">
        <w:rPr>
          <w:rFonts w:ascii="Century Gothic" w:hAnsi="Century Gothic"/>
          <w:sz w:val="19"/>
          <w:szCs w:val="19"/>
        </w:rPr>
        <w:t xml:space="preserve">recisión y </w:t>
      </w:r>
      <w:r w:rsidR="004B500A" w:rsidRPr="00296E53">
        <w:rPr>
          <w:rFonts w:ascii="Century Gothic" w:hAnsi="Century Gothic"/>
          <w:sz w:val="19"/>
          <w:szCs w:val="19"/>
        </w:rPr>
        <w:t>c</w:t>
      </w:r>
      <w:r w:rsidRPr="00296E53">
        <w:rPr>
          <w:rFonts w:ascii="Century Gothic" w:hAnsi="Century Gothic"/>
          <w:sz w:val="19"/>
          <w:szCs w:val="19"/>
        </w:rPr>
        <w:t>onfiabilidad de uso interno</w:t>
      </w:r>
      <w:r w:rsidR="00915E45" w:rsidRPr="00296E53">
        <w:rPr>
          <w:rFonts w:ascii="Century Gothic" w:hAnsi="Century Gothic"/>
          <w:sz w:val="19"/>
          <w:szCs w:val="19"/>
        </w:rPr>
        <w:t>,</w:t>
      </w:r>
      <w:r w:rsidRPr="00296E53">
        <w:rPr>
          <w:rFonts w:ascii="Century Gothic" w:hAnsi="Century Gothic"/>
          <w:sz w:val="19"/>
          <w:szCs w:val="19"/>
        </w:rPr>
        <w:t xml:space="preserve"> aprobados por el CAC</w:t>
      </w:r>
      <w:r w:rsidR="00AF2E4A" w:rsidRPr="00296E53">
        <w:rPr>
          <w:rFonts w:ascii="Century Gothic" w:hAnsi="Century Gothic"/>
          <w:sz w:val="19"/>
          <w:szCs w:val="19"/>
        </w:rPr>
        <w:t xml:space="preserve">. En 2019 se registró un 90% de entregas de información comprometidas conforme a los programas </w:t>
      </w:r>
      <w:r w:rsidR="00AF2E4A" w:rsidRPr="00296E53">
        <w:rPr>
          <w:rFonts w:ascii="Century Gothic" w:hAnsi="Century Gothic"/>
          <w:bCs/>
          <w:sz w:val="20"/>
          <w:szCs w:val="20"/>
        </w:rPr>
        <w:t xml:space="preserve">de </w:t>
      </w:r>
      <w:r w:rsidR="00AF2E4A" w:rsidRPr="000A4B13">
        <w:rPr>
          <w:rFonts w:ascii="Century Gothic" w:hAnsi="Century Gothic"/>
          <w:sz w:val="19"/>
          <w:szCs w:val="19"/>
        </w:rPr>
        <w:t>información cuyo insumo son sólo Registros Administrativos</w:t>
      </w:r>
      <w:r w:rsidR="00AF2E4A" w:rsidRPr="00296E53">
        <w:rPr>
          <w:rFonts w:ascii="Century Gothic" w:hAnsi="Century Gothic"/>
          <w:sz w:val="19"/>
          <w:szCs w:val="19"/>
        </w:rPr>
        <w:t xml:space="preserve"> incluidos en el calendario de difusión 2019, en 2020 disminuyó a un </w:t>
      </w:r>
      <w:r w:rsidR="0022003B">
        <w:rPr>
          <w:rFonts w:ascii="Century Gothic" w:hAnsi="Century Gothic"/>
          <w:sz w:val="19"/>
          <w:szCs w:val="19"/>
        </w:rPr>
        <w:t>86</w:t>
      </w:r>
      <w:r w:rsidR="00AF2E4A" w:rsidRPr="00296E53">
        <w:rPr>
          <w:rFonts w:ascii="Century Gothic" w:hAnsi="Century Gothic"/>
          <w:sz w:val="19"/>
          <w:szCs w:val="19"/>
        </w:rPr>
        <w:t>%, cabe señalar que los programas de información que no entregaron metadatos de los indicadores de precisión no corresponde</w:t>
      </w:r>
      <w:r w:rsidR="00532AC9">
        <w:rPr>
          <w:rFonts w:ascii="Century Gothic" w:hAnsi="Century Gothic"/>
          <w:sz w:val="19"/>
          <w:szCs w:val="19"/>
        </w:rPr>
        <w:t>n</w:t>
      </w:r>
      <w:r w:rsidR="00AF2E4A" w:rsidRPr="00296E53">
        <w:rPr>
          <w:rFonts w:ascii="Century Gothic" w:hAnsi="Century Gothic"/>
          <w:sz w:val="19"/>
          <w:szCs w:val="19"/>
        </w:rPr>
        <w:t xml:space="preserve"> a los programas cancelado o reprogramados por efecto de la pandemia </w:t>
      </w:r>
      <w:proofErr w:type="spellStart"/>
      <w:r w:rsidR="00AF2E4A" w:rsidRPr="00296E53">
        <w:rPr>
          <w:rFonts w:ascii="Century Gothic" w:hAnsi="Century Gothic"/>
          <w:sz w:val="19"/>
          <w:szCs w:val="19"/>
        </w:rPr>
        <w:t>Covid</w:t>
      </w:r>
      <w:proofErr w:type="spellEnd"/>
      <w:r w:rsidR="00AF2E4A" w:rsidRPr="00296E53">
        <w:rPr>
          <w:rFonts w:ascii="Century Gothic" w:hAnsi="Century Gothic"/>
          <w:sz w:val="19"/>
          <w:szCs w:val="19"/>
        </w:rPr>
        <w:t>–19.</w:t>
      </w:r>
    </w:p>
    <w:p w14:paraId="6050EE45" w14:textId="30F852A6" w:rsidR="00365D05" w:rsidRPr="00296E53" w:rsidRDefault="004B500A" w:rsidP="00365D05">
      <w:pPr>
        <w:spacing w:after="100"/>
        <w:jc w:val="both"/>
        <w:rPr>
          <w:rFonts w:ascii="Century Gothic" w:hAnsi="Century Gothic"/>
          <w:sz w:val="19"/>
          <w:szCs w:val="19"/>
        </w:rPr>
      </w:pPr>
      <w:r w:rsidRPr="00296E53">
        <w:rPr>
          <w:rFonts w:ascii="Century Gothic" w:hAnsi="Century Gothic"/>
          <w:sz w:val="19"/>
          <w:szCs w:val="19"/>
        </w:rPr>
        <w:t xml:space="preserve">  </w:t>
      </w:r>
      <w:r w:rsidR="00365D05" w:rsidRPr="00296E53">
        <w:rPr>
          <w:rFonts w:ascii="Century Gothic" w:hAnsi="Century Gothic"/>
          <w:sz w:val="19"/>
          <w:szCs w:val="19"/>
        </w:rPr>
        <w:t xml:space="preserve"> El </w:t>
      </w:r>
      <w:r w:rsidR="0022003B">
        <w:rPr>
          <w:rFonts w:ascii="Century Gothic" w:hAnsi="Century Gothic"/>
          <w:sz w:val="19"/>
          <w:szCs w:val="19"/>
        </w:rPr>
        <w:t>14</w:t>
      </w:r>
      <w:r w:rsidR="00365D05" w:rsidRPr="00296E53">
        <w:rPr>
          <w:rFonts w:ascii="Century Gothic" w:hAnsi="Century Gothic"/>
          <w:sz w:val="19"/>
          <w:szCs w:val="19"/>
        </w:rPr>
        <w:t>% restante corresponde a los siguientes programas:</w:t>
      </w:r>
    </w:p>
    <w:p w14:paraId="31B78192" w14:textId="77777777" w:rsidR="00365D05" w:rsidRPr="00296E53" w:rsidRDefault="00365D05" w:rsidP="004C2C1D">
      <w:pPr>
        <w:pStyle w:val="Prrafodelista"/>
        <w:numPr>
          <w:ilvl w:val="0"/>
          <w:numId w:val="11"/>
        </w:numPr>
        <w:spacing w:after="100" w:line="240" w:lineRule="auto"/>
        <w:jc w:val="both"/>
        <w:rPr>
          <w:rFonts w:ascii="Century Gothic" w:hAnsi="Century Gothic"/>
          <w:sz w:val="19"/>
          <w:szCs w:val="19"/>
        </w:rPr>
      </w:pPr>
      <w:r w:rsidRPr="00296E53">
        <w:rPr>
          <w:rFonts w:ascii="Century Gothic" w:hAnsi="Century Gothic"/>
          <w:sz w:val="19"/>
          <w:szCs w:val="19"/>
        </w:rPr>
        <w:t>Estadísticas de mortalidad. Defunciones por homicidio anual (DGES)</w:t>
      </w:r>
    </w:p>
    <w:p w14:paraId="67F28239" w14:textId="77777777" w:rsidR="00365D05" w:rsidRPr="00296E53" w:rsidRDefault="00365D05" w:rsidP="004C2C1D">
      <w:pPr>
        <w:pStyle w:val="Prrafodelista"/>
        <w:numPr>
          <w:ilvl w:val="0"/>
          <w:numId w:val="11"/>
        </w:numPr>
        <w:spacing w:after="100" w:line="240" w:lineRule="auto"/>
        <w:jc w:val="both"/>
        <w:rPr>
          <w:rFonts w:ascii="Century Gothic" w:hAnsi="Century Gothic"/>
          <w:sz w:val="19"/>
          <w:szCs w:val="19"/>
        </w:rPr>
      </w:pPr>
      <w:r w:rsidRPr="00296E53">
        <w:rPr>
          <w:rFonts w:ascii="Century Gothic" w:hAnsi="Century Gothic"/>
          <w:sz w:val="19"/>
          <w:szCs w:val="19"/>
        </w:rPr>
        <w:t>Estadísticas de mortalidad. Defunciones fetales* anual (DGES)</w:t>
      </w:r>
    </w:p>
    <w:p w14:paraId="5D7AA9C9" w14:textId="77777777" w:rsidR="00723252" w:rsidRPr="00296E53" w:rsidRDefault="00723252" w:rsidP="004C2C1D">
      <w:pPr>
        <w:pStyle w:val="Prrafodelista"/>
        <w:numPr>
          <w:ilvl w:val="0"/>
          <w:numId w:val="11"/>
        </w:numPr>
        <w:spacing w:after="100" w:line="240" w:lineRule="auto"/>
        <w:jc w:val="both"/>
        <w:rPr>
          <w:rFonts w:ascii="Century Gothic" w:hAnsi="Century Gothic"/>
          <w:sz w:val="19"/>
          <w:szCs w:val="19"/>
        </w:rPr>
      </w:pPr>
      <w:bookmarkStart w:id="24" w:name="_Hlk63787805"/>
      <w:r w:rsidRPr="00296E53">
        <w:rPr>
          <w:rFonts w:ascii="Century Gothic" w:hAnsi="Century Gothic"/>
          <w:sz w:val="19"/>
          <w:szCs w:val="19"/>
        </w:rPr>
        <w:t>Estadísticas Vitales. Natalidad</w:t>
      </w:r>
    </w:p>
    <w:p w14:paraId="45D05F22" w14:textId="77777777" w:rsidR="00723252" w:rsidRPr="00296E53" w:rsidRDefault="00723252" w:rsidP="004C2C1D">
      <w:pPr>
        <w:pStyle w:val="Prrafodelista"/>
        <w:numPr>
          <w:ilvl w:val="0"/>
          <w:numId w:val="11"/>
        </w:numPr>
        <w:spacing w:after="100" w:line="240" w:lineRule="auto"/>
        <w:jc w:val="both"/>
        <w:rPr>
          <w:rFonts w:ascii="Century Gothic" w:hAnsi="Century Gothic"/>
          <w:sz w:val="19"/>
          <w:szCs w:val="19"/>
        </w:rPr>
      </w:pPr>
      <w:r w:rsidRPr="00296E53">
        <w:rPr>
          <w:rFonts w:ascii="Century Gothic" w:hAnsi="Century Gothic"/>
          <w:sz w:val="19"/>
          <w:szCs w:val="19"/>
        </w:rPr>
        <w:t xml:space="preserve">Impartición de Justicia en Materia Penal </w:t>
      </w:r>
    </w:p>
    <w:p w14:paraId="65DE7065" w14:textId="77777777" w:rsidR="00723252" w:rsidRPr="00296E53" w:rsidRDefault="00723252" w:rsidP="004C2C1D">
      <w:pPr>
        <w:pStyle w:val="Prrafodelista"/>
        <w:numPr>
          <w:ilvl w:val="0"/>
          <w:numId w:val="11"/>
        </w:numPr>
        <w:spacing w:after="100" w:line="240" w:lineRule="auto"/>
        <w:jc w:val="both"/>
        <w:rPr>
          <w:rFonts w:ascii="Century Gothic" w:hAnsi="Century Gothic"/>
          <w:sz w:val="19"/>
          <w:szCs w:val="19"/>
        </w:rPr>
      </w:pPr>
      <w:r w:rsidRPr="00296E53">
        <w:rPr>
          <w:rFonts w:ascii="Century Gothic" w:hAnsi="Century Gothic"/>
          <w:sz w:val="19"/>
          <w:szCs w:val="19"/>
        </w:rPr>
        <w:t>Cédula de Operación Anual</w:t>
      </w:r>
    </w:p>
    <w:bookmarkEnd w:id="24"/>
    <w:p w14:paraId="218AB2C0" w14:textId="77777777" w:rsidR="00121DC3" w:rsidRPr="00296E53" w:rsidRDefault="00121DC3" w:rsidP="00121DC3">
      <w:pPr>
        <w:pStyle w:val="Prrafodelista"/>
        <w:spacing w:after="100" w:line="240" w:lineRule="auto"/>
        <w:jc w:val="both"/>
        <w:rPr>
          <w:rFonts w:ascii="Century Gothic" w:hAnsi="Century Gothic"/>
          <w:sz w:val="19"/>
          <w:szCs w:val="19"/>
        </w:rPr>
      </w:pPr>
    </w:p>
    <w:p w14:paraId="60F84458" w14:textId="77777777" w:rsidR="00365D05" w:rsidRPr="00296E53" w:rsidRDefault="00365D05" w:rsidP="000C1ADA">
      <w:pPr>
        <w:jc w:val="center"/>
        <w:rPr>
          <w:rFonts w:ascii="Century Gothic" w:hAnsi="Century Gothic"/>
          <w:b/>
          <w:sz w:val="19"/>
          <w:szCs w:val="19"/>
        </w:rPr>
      </w:pPr>
      <w:r w:rsidRPr="00296E53">
        <w:rPr>
          <w:rFonts w:ascii="Century Gothic" w:hAnsi="Century Gothic"/>
          <w:b/>
          <w:sz w:val="19"/>
          <w:szCs w:val="19"/>
        </w:rPr>
        <w:t>A.5.4. Ciclos de Programa de información cuyo insumo son sólo Registros Administrativos</w:t>
      </w:r>
      <w:r w:rsidRPr="00296E53">
        <w:rPr>
          <w:rFonts w:ascii="Century Gothic" w:hAnsi="Century Gothic"/>
          <w:b/>
          <w:sz w:val="19"/>
          <w:szCs w:val="19"/>
        </w:rPr>
        <w:br/>
        <w:t>que están obligados a reportar indicadores de calidad a partir del tercer trimestre de 2019 -2020</w:t>
      </w:r>
    </w:p>
    <w:tbl>
      <w:tblPr>
        <w:tblW w:w="14175"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991"/>
        <w:gridCol w:w="5594"/>
        <w:gridCol w:w="1336"/>
        <w:gridCol w:w="1526"/>
        <w:gridCol w:w="1531"/>
        <w:gridCol w:w="1530"/>
        <w:gridCol w:w="1667"/>
      </w:tblGrid>
      <w:tr w:rsidR="00352725" w:rsidRPr="00296E53" w14:paraId="243030F7" w14:textId="77777777" w:rsidTr="00E705F7">
        <w:trPr>
          <w:trHeight w:val="20"/>
          <w:tblHeader/>
        </w:trPr>
        <w:tc>
          <w:tcPr>
            <w:tcW w:w="991" w:type="dxa"/>
            <w:shd w:val="clear" w:color="auto" w:fill="1F3864" w:themeFill="accent5" w:themeFillShade="80"/>
            <w:vAlign w:val="center"/>
          </w:tcPr>
          <w:p w14:paraId="2F62C095" w14:textId="77777777" w:rsidR="00352725" w:rsidRPr="00296E53" w:rsidRDefault="00352725" w:rsidP="00F91D0B">
            <w:pPr>
              <w:spacing w:after="0" w:line="240" w:lineRule="auto"/>
              <w:jc w:val="center"/>
              <w:rPr>
                <w:rFonts w:ascii="Century Gothic" w:hAnsi="Century Gothic"/>
                <w:b/>
                <w:bCs/>
                <w:sz w:val="17"/>
                <w:szCs w:val="17"/>
              </w:rPr>
            </w:pPr>
          </w:p>
        </w:tc>
        <w:tc>
          <w:tcPr>
            <w:tcW w:w="5594" w:type="dxa"/>
            <w:shd w:val="clear" w:color="auto" w:fill="1F3864" w:themeFill="accent5" w:themeFillShade="80"/>
            <w:tcMar>
              <w:top w:w="72" w:type="dxa"/>
              <w:left w:w="144" w:type="dxa"/>
              <w:bottom w:w="72" w:type="dxa"/>
              <w:right w:w="144" w:type="dxa"/>
            </w:tcMar>
            <w:vAlign w:val="center"/>
          </w:tcPr>
          <w:p w14:paraId="7A82DB15" w14:textId="77777777" w:rsidR="00352725" w:rsidRPr="00296E53" w:rsidRDefault="00352725" w:rsidP="00F91D0B">
            <w:pPr>
              <w:spacing w:after="0" w:line="240" w:lineRule="auto"/>
              <w:jc w:val="center"/>
              <w:rPr>
                <w:rFonts w:ascii="Century Gothic" w:hAnsi="Century Gothic"/>
                <w:b/>
                <w:bCs/>
                <w:sz w:val="17"/>
                <w:szCs w:val="17"/>
              </w:rPr>
            </w:pPr>
          </w:p>
        </w:tc>
        <w:tc>
          <w:tcPr>
            <w:tcW w:w="1336" w:type="dxa"/>
            <w:shd w:val="clear" w:color="auto" w:fill="1F3864" w:themeFill="accent5" w:themeFillShade="80"/>
            <w:tcMar>
              <w:top w:w="72" w:type="dxa"/>
              <w:left w:w="144" w:type="dxa"/>
              <w:bottom w:w="72" w:type="dxa"/>
              <w:right w:w="144" w:type="dxa"/>
            </w:tcMar>
            <w:vAlign w:val="center"/>
          </w:tcPr>
          <w:p w14:paraId="091BB55C" w14:textId="77777777" w:rsidR="00352725" w:rsidRPr="00296E53" w:rsidRDefault="00352725" w:rsidP="00F91D0B">
            <w:pPr>
              <w:spacing w:after="0" w:line="240" w:lineRule="auto"/>
              <w:jc w:val="center"/>
              <w:rPr>
                <w:rFonts w:ascii="Century Gothic" w:hAnsi="Century Gothic"/>
                <w:b/>
                <w:bCs/>
                <w:sz w:val="17"/>
                <w:szCs w:val="17"/>
              </w:rPr>
            </w:pPr>
          </w:p>
        </w:tc>
        <w:tc>
          <w:tcPr>
            <w:tcW w:w="3057" w:type="dxa"/>
            <w:gridSpan w:val="2"/>
            <w:shd w:val="clear" w:color="auto" w:fill="1F3864" w:themeFill="accent5" w:themeFillShade="80"/>
            <w:vAlign w:val="center"/>
          </w:tcPr>
          <w:p w14:paraId="0709404D" w14:textId="77777777" w:rsidR="00352725" w:rsidRPr="00296E53" w:rsidRDefault="00723252" w:rsidP="00F91D0B">
            <w:pPr>
              <w:spacing w:after="0" w:line="240" w:lineRule="auto"/>
              <w:ind w:left="66"/>
              <w:jc w:val="center"/>
              <w:rPr>
                <w:rFonts w:ascii="Century Gothic" w:hAnsi="Century Gothic"/>
                <w:b/>
                <w:bCs/>
                <w:sz w:val="17"/>
                <w:szCs w:val="17"/>
              </w:rPr>
            </w:pPr>
            <w:r w:rsidRPr="00296E53">
              <w:rPr>
                <w:rFonts w:ascii="Century Gothic" w:hAnsi="Century Gothic"/>
                <w:b/>
                <w:bCs/>
                <w:sz w:val="17"/>
                <w:szCs w:val="17"/>
              </w:rPr>
              <w:t xml:space="preserve">Publicados en </w:t>
            </w:r>
            <w:r w:rsidR="00352725" w:rsidRPr="00296E53">
              <w:rPr>
                <w:rFonts w:ascii="Century Gothic" w:hAnsi="Century Gothic"/>
                <w:b/>
                <w:bCs/>
                <w:sz w:val="17"/>
                <w:szCs w:val="17"/>
              </w:rPr>
              <w:t>2019</w:t>
            </w:r>
          </w:p>
        </w:tc>
        <w:tc>
          <w:tcPr>
            <w:tcW w:w="3197" w:type="dxa"/>
            <w:gridSpan w:val="2"/>
            <w:shd w:val="clear" w:color="auto" w:fill="1F3864" w:themeFill="accent5" w:themeFillShade="80"/>
          </w:tcPr>
          <w:p w14:paraId="08F46E17" w14:textId="77777777" w:rsidR="00352725" w:rsidRPr="00296E53" w:rsidRDefault="00723252" w:rsidP="00F91D0B">
            <w:pPr>
              <w:spacing w:after="0" w:line="240" w:lineRule="auto"/>
              <w:ind w:left="66"/>
              <w:jc w:val="center"/>
              <w:rPr>
                <w:rFonts w:ascii="Century Gothic" w:hAnsi="Century Gothic"/>
                <w:b/>
                <w:bCs/>
                <w:sz w:val="17"/>
                <w:szCs w:val="17"/>
              </w:rPr>
            </w:pPr>
            <w:r w:rsidRPr="00296E53">
              <w:rPr>
                <w:rFonts w:ascii="Century Gothic" w:hAnsi="Century Gothic"/>
                <w:b/>
                <w:bCs/>
                <w:sz w:val="17"/>
                <w:szCs w:val="17"/>
              </w:rPr>
              <w:t xml:space="preserve">Publicados en </w:t>
            </w:r>
            <w:r w:rsidR="00352725" w:rsidRPr="00296E53">
              <w:rPr>
                <w:rFonts w:ascii="Century Gothic" w:hAnsi="Century Gothic"/>
                <w:b/>
                <w:bCs/>
                <w:sz w:val="17"/>
                <w:szCs w:val="17"/>
              </w:rPr>
              <w:t>2020</w:t>
            </w:r>
          </w:p>
        </w:tc>
      </w:tr>
      <w:tr w:rsidR="00352725" w:rsidRPr="00296E53" w14:paraId="162D003E" w14:textId="77777777" w:rsidTr="00E705F7">
        <w:trPr>
          <w:trHeight w:val="20"/>
          <w:tblHeader/>
        </w:trPr>
        <w:tc>
          <w:tcPr>
            <w:tcW w:w="991" w:type="dxa"/>
            <w:shd w:val="clear" w:color="auto" w:fill="1F3864" w:themeFill="accent5" w:themeFillShade="80"/>
            <w:vAlign w:val="center"/>
          </w:tcPr>
          <w:p w14:paraId="67D32794" w14:textId="77777777" w:rsidR="00352725" w:rsidRPr="00296E53" w:rsidRDefault="00352725" w:rsidP="00F91D0B">
            <w:pPr>
              <w:spacing w:after="0" w:line="240" w:lineRule="auto"/>
              <w:jc w:val="center"/>
              <w:rPr>
                <w:rFonts w:ascii="Century Gothic" w:hAnsi="Century Gothic"/>
                <w:b/>
                <w:bCs/>
                <w:sz w:val="17"/>
                <w:szCs w:val="17"/>
              </w:rPr>
            </w:pPr>
            <w:r w:rsidRPr="00296E53">
              <w:rPr>
                <w:rFonts w:ascii="Century Gothic" w:hAnsi="Century Gothic"/>
                <w:b/>
                <w:bCs/>
                <w:sz w:val="17"/>
                <w:szCs w:val="17"/>
              </w:rPr>
              <w:t xml:space="preserve">UA </w:t>
            </w:r>
          </w:p>
        </w:tc>
        <w:tc>
          <w:tcPr>
            <w:tcW w:w="5594" w:type="dxa"/>
            <w:shd w:val="clear" w:color="auto" w:fill="1F3864" w:themeFill="accent5" w:themeFillShade="80"/>
            <w:tcMar>
              <w:top w:w="72" w:type="dxa"/>
              <w:left w:w="144" w:type="dxa"/>
              <w:bottom w:w="72" w:type="dxa"/>
              <w:right w:w="144" w:type="dxa"/>
            </w:tcMar>
            <w:vAlign w:val="center"/>
            <w:hideMark/>
          </w:tcPr>
          <w:p w14:paraId="2AA24D48" w14:textId="77777777" w:rsidR="00352725" w:rsidRPr="00296E53" w:rsidRDefault="00352725" w:rsidP="00F91D0B">
            <w:pPr>
              <w:spacing w:after="0" w:line="240" w:lineRule="auto"/>
              <w:jc w:val="center"/>
              <w:rPr>
                <w:rFonts w:ascii="Century Gothic" w:hAnsi="Century Gothic"/>
                <w:sz w:val="17"/>
                <w:szCs w:val="17"/>
              </w:rPr>
            </w:pPr>
            <w:r w:rsidRPr="00296E53">
              <w:rPr>
                <w:rFonts w:ascii="Century Gothic" w:hAnsi="Century Gothic"/>
                <w:b/>
                <w:bCs/>
                <w:sz w:val="17"/>
                <w:szCs w:val="17"/>
              </w:rPr>
              <w:t>Programas de información cuyo único insumo son registros administrativos</w:t>
            </w:r>
          </w:p>
        </w:tc>
        <w:tc>
          <w:tcPr>
            <w:tcW w:w="1336" w:type="dxa"/>
            <w:shd w:val="clear" w:color="auto" w:fill="1F3864" w:themeFill="accent5" w:themeFillShade="80"/>
            <w:tcMar>
              <w:top w:w="72" w:type="dxa"/>
              <w:left w:w="144" w:type="dxa"/>
              <w:bottom w:w="72" w:type="dxa"/>
              <w:right w:w="144" w:type="dxa"/>
            </w:tcMar>
            <w:vAlign w:val="center"/>
            <w:hideMark/>
          </w:tcPr>
          <w:p w14:paraId="2F7B87F1" w14:textId="77777777" w:rsidR="00352725" w:rsidRPr="00296E53" w:rsidRDefault="00352725" w:rsidP="00F91D0B">
            <w:pPr>
              <w:spacing w:after="0" w:line="240" w:lineRule="auto"/>
              <w:jc w:val="center"/>
              <w:rPr>
                <w:rFonts w:ascii="Century Gothic" w:hAnsi="Century Gothic"/>
                <w:sz w:val="17"/>
                <w:szCs w:val="17"/>
              </w:rPr>
            </w:pPr>
            <w:r w:rsidRPr="00296E53">
              <w:rPr>
                <w:rFonts w:ascii="Century Gothic" w:hAnsi="Century Gothic"/>
                <w:b/>
                <w:bCs/>
                <w:sz w:val="17"/>
                <w:szCs w:val="17"/>
              </w:rPr>
              <w:t>Periodicidad</w:t>
            </w:r>
          </w:p>
        </w:tc>
        <w:tc>
          <w:tcPr>
            <w:tcW w:w="1526" w:type="dxa"/>
            <w:shd w:val="clear" w:color="auto" w:fill="1F3864" w:themeFill="accent5" w:themeFillShade="80"/>
            <w:vAlign w:val="center"/>
          </w:tcPr>
          <w:p w14:paraId="311AF8A6" w14:textId="77777777" w:rsidR="00352725" w:rsidRPr="00296E53" w:rsidRDefault="00352725" w:rsidP="00F91D0B">
            <w:pPr>
              <w:spacing w:after="0" w:line="240" w:lineRule="auto"/>
              <w:ind w:left="1"/>
              <w:jc w:val="center"/>
              <w:rPr>
                <w:rFonts w:ascii="Century Gothic" w:hAnsi="Century Gothic"/>
                <w:b/>
                <w:bCs/>
                <w:sz w:val="17"/>
                <w:szCs w:val="17"/>
              </w:rPr>
            </w:pPr>
            <w:r w:rsidRPr="00296E53">
              <w:rPr>
                <w:rFonts w:ascii="Century Gothic" w:hAnsi="Century Gothic"/>
                <w:b/>
                <w:bCs/>
                <w:sz w:val="17"/>
                <w:szCs w:val="17"/>
              </w:rPr>
              <w:t>Número de ciclos publicados en 2019</w:t>
            </w:r>
          </w:p>
        </w:tc>
        <w:tc>
          <w:tcPr>
            <w:tcW w:w="1531" w:type="dxa"/>
            <w:shd w:val="clear" w:color="auto" w:fill="1F3864" w:themeFill="accent5" w:themeFillShade="80"/>
            <w:vAlign w:val="center"/>
          </w:tcPr>
          <w:p w14:paraId="72C1D8CF" w14:textId="77777777" w:rsidR="00352725" w:rsidRPr="00296E53" w:rsidRDefault="00352725" w:rsidP="00F91D0B">
            <w:pPr>
              <w:spacing w:after="0" w:line="240" w:lineRule="auto"/>
              <w:ind w:left="66"/>
              <w:jc w:val="center"/>
              <w:rPr>
                <w:rFonts w:ascii="Century Gothic" w:hAnsi="Century Gothic"/>
                <w:b/>
                <w:bCs/>
                <w:sz w:val="17"/>
                <w:szCs w:val="17"/>
              </w:rPr>
            </w:pPr>
            <w:r w:rsidRPr="00296E53">
              <w:rPr>
                <w:rFonts w:ascii="Century Gothic" w:hAnsi="Century Gothic"/>
                <w:b/>
                <w:bCs/>
                <w:sz w:val="17"/>
                <w:szCs w:val="17"/>
              </w:rPr>
              <w:t>Número de ciclos con indicadores</w:t>
            </w:r>
          </w:p>
        </w:tc>
        <w:tc>
          <w:tcPr>
            <w:tcW w:w="1530" w:type="dxa"/>
            <w:shd w:val="clear" w:color="auto" w:fill="1F3864" w:themeFill="accent5" w:themeFillShade="80"/>
            <w:vAlign w:val="center"/>
          </w:tcPr>
          <w:p w14:paraId="11A77B9B" w14:textId="77777777" w:rsidR="00352725" w:rsidRPr="00296E53" w:rsidRDefault="00352725" w:rsidP="00F91D0B">
            <w:pPr>
              <w:spacing w:after="0" w:line="240" w:lineRule="auto"/>
              <w:ind w:left="66"/>
              <w:jc w:val="center"/>
              <w:rPr>
                <w:rFonts w:ascii="Century Gothic" w:hAnsi="Century Gothic"/>
                <w:b/>
                <w:bCs/>
                <w:sz w:val="17"/>
                <w:szCs w:val="17"/>
              </w:rPr>
            </w:pPr>
            <w:r w:rsidRPr="00296E53">
              <w:rPr>
                <w:rFonts w:ascii="Century Gothic" w:hAnsi="Century Gothic"/>
                <w:b/>
                <w:bCs/>
                <w:sz w:val="17"/>
                <w:szCs w:val="17"/>
              </w:rPr>
              <w:t>Número de ciclos publicados en 2020</w:t>
            </w:r>
          </w:p>
        </w:tc>
        <w:tc>
          <w:tcPr>
            <w:tcW w:w="1667" w:type="dxa"/>
            <w:shd w:val="clear" w:color="auto" w:fill="1F3864" w:themeFill="accent5" w:themeFillShade="80"/>
            <w:vAlign w:val="center"/>
          </w:tcPr>
          <w:p w14:paraId="613DAD44" w14:textId="77777777" w:rsidR="00352725" w:rsidRPr="00296E53" w:rsidRDefault="00352725" w:rsidP="00F91D0B">
            <w:pPr>
              <w:spacing w:after="0" w:line="240" w:lineRule="auto"/>
              <w:ind w:left="66"/>
              <w:jc w:val="center"/>
              <w:rPr>
                <w:rFonts w:ascii="Century Gothic" w:hAnsi="Century Gothic"/>
                <w:b/>
                <w:bCs/>
                <w:sz w:val="17"/>
                <w:szCs w:val="17"/>
              </w:rPr>
            </w:pPr>
            <w:r w:rsidRPr="00296E53">
              <w:rPr>
                <w:rFonts w:ascii="Century Gothic" w:hAnsi="Century Gothic"/>
                <w:b/>
                <w:bCs/>
                <w:sz w:val="17"/>
                <w:szCs w:val="17"/>
              </w:rPr>
              <w:t>Número de ciclos con indicadores</w:t>
            </w:r>
          </w:p>
        </w:tc>
      </w:tr>
      <w:tr w:rsidR="00BF560E" w:rsidRPr="00296E53" w14:paraId="13624C52" w14:textId="77777777" w:rsidTr="00E705F7">
        <w:trPr>
          <w:trHeight w:val="20"/>
        </w:trPr>
        <w:tc>
          <w:tcPr>
            <w:tcW w:w="991" w:type="dxa"/>
            <w:shd w:val="clear" w:color="auto" w:fill="E1F4FF"/>
            <w:vAlign w:val="center"/>
          </w:tcPr>
          <w:p w14:paraId="348031D5" w14:textId="77777777" w:rsidR="00BF560E" w:rsidRPr="00296E53" w:rsidRDefault="00BF560E"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DGEE</w:t>
            </w:r>
          </w:p>
        </w:tc>
        <w:tc>
          <w:tcPr>
            <w:tcW w:w="5594" w:type="dxa"/>
            <w:shd w:val="clear" w:color="auto" w:fill="E1F4FF"/>
            <w:tcMar>
              <w:top w:w="72" w:type="dxa"/>
              <w:left w:w="144" w:type="dxa"/>
              <w:bottom w:w="72" w:type="dxa"/>
              <w:right w:w="144" w:type="dxa"/>
            </w:tcMar>
            <w:vAlign w:val="center"/>
          </w:tcPr>
          <w:p w14:paraId="35049092" w14:textId="77777777" w:rsidR="00BF560E" w:rsidRPr="00296E53" w:rsidRDefault="00BF560E" w:rsidP="00F91D0B">
            <w:pPr>
              <w:spacing w:after="0" w:line="240" w:lineRule="auto"/>
              <w:rPr>
                <w:rFonts w:ascii="Century Gothic" w:hAnsi="Century Gothic"/>
                <w:color w:val="000000"/>
                <w:sz w:val="17"/>
                <w:szCs w:val="17"/>
              </w:rPr>
            </w:pPr>
            <w:r w:rsidRPr="00296E53">
              <w:rPr>
                <w:rFonts w:ascii="Century Gothic" w:hAnsi="Century Gothic"/>
                <w:color w:val="000000"/>
                <w:sz w:val="17"/>
                <w:szCs w:val="17"/>
              </w:rPr>
              <w:t xml:space="preserve">Estadística de Sacrificio de Ganado en Rastros Municipales </w:t>
            </w:r>
          </w:p>
        </w:tc>
        <w:tc>
          <w:tcPr>
            <w:tcW w:w="1336" w:type="dxa"/>
            <w:shd w:val="clear" w:color="auto" w:fill="E1F4FF"/>
            <w:tcMar>
              <w:top w:w="72" w:type="dxa"/>
              <w:left w:w="144" w:type="dxa"/>
              <w:bottom w:w="72" w:type="dxa"/>
              <w:right w:w="144" w:type="dxa"/>
            </w:tcMar>
            <w:vAlign w:val="center"/>
          </w:tcPr>
          <w:p w14:paraId="0B2B02DD" w14:textId="77777777" w:rsidR="00BF560E" w:rsidRPr="00296E53" w:rsidRDefault="00BF560E"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Mensual</w:t>
            </w:r>
          </w:p>
        </w:tc>
        <w:tc>
          <w:tcPr>
            <w:tcW w:w="1526" w:type="dxa"/>
            <w:shd w:val="clear" w:color="auto" w:fill="E1F4FF"/>
            <w:vAlign w:val="center"/>
          </w:tcPr>
          <w:p w14:paraId="0C199940" w14:textId="77777777" w:rsidR="00BF560E" w:rsidRPr="00296E53" w:rsidRDefault="00BF560E" w:rsidP="00F91D0B">
            <w:pPr>
              <w:spacing w:after="0" w:line="240" w:lineRule="auto"/>
              <w:ind w:left="1"/>
              <w:jc w:val="center"/>
              <w:rPr>
                <w:rFonts w:ascii="Century Gothic" w:hAnsi="Century Gothic"/>
                <w:color w:val="000000"/>
                <w:sz w:val="17"/>
                <w:szCs w:val="17"/>
              </w:rPr>
            </w:pPr>
            <w:r w:rsidRPr="00296E53">
              <w:rPr>
                <w:rFonts w:ascii="Century Gothic" w:hAnsi="Century Gothic"/>
                <w:color w:val="000000"/>
                <w:sz w:val="17"/>
                <w:szCs w:val="17"/>
              </w:rPr>
              <w:t>6</w:t>
            </w:r>
          </w:p>
        </w:tc>
        <w:tc>
          <w:tcPr>
            <w:tcW w:w="1531" w:type="dxa"/>
            <w:shd w:val="clear" w:color="auto" w:fill="E1F4FF"/>
            <w:vAlign w:val="center"/>
          </w:tcPr>
          <w:p w14:paraId="4D18F23C" w14:textId="77777777" w:rsidR="00BF560E" w:rsidRPr="00296E53" w:rsidRDefault="00BF560E"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6</w:t>
            </w:r>
          </w:p>
        </w:tc>
        <w:tc>
          <w:tcPr>
            <w:tcW w:w="1530" w:type="dxa"/>
            <w:shd w:val="clear" w:color="auto" w:fill="E1F4FF"/>
            <w:vAlign w:val="center"/>
          </w:tcPr>
          <w:p w14:paraId="5111B44C" w14:textId="3D1FFDDB" w:rsidR="00BF560E" w:rsidRPr="00296E53" w:rsidRDefault="00BF560E"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r w:rsidR="0022003B">
              <w:rPr>
                <w:rFonts w:ascii="Century Gothic" w:hAnsi="Century Gothic"/>
                <w:color w:val="000000"/>
                <w:sz w:val="17"/>
                <w:szCs w:val="17"/>
              </w:rPr>
              <w:t>2</w:t>
            </w:r>
          </w:p>
        </w:tc>
        <w:tc>
          <w:tcPr>
            <w:tcW w:w="1667" w:type="dxa"/>
            <w:shd w:val="clear" w:color="auto" w:fill="E1F4FF"/>
            <w:vAlign w:val="center"/>
          </w:tcPr>
          <w:p w14:paraId="2F3EB2E8" w14:textId="5962DACF" w:rsidR="00BF560E" w:rsidRPr="00296E53" w:rsidRDefault="00BF560E"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r w:rsidR="0022003B">
              <w:rPr>
                <w:rFonts w:ascii="Century Gothic" w:hAnsi="Century Gothic"/>
                <w:color w:val="000000"/>
                <w:sz w:val="17"/>
                <w:szCs w:val="17"/>
              </w:rPr>
              <w:t>2</w:t>
            </w:r>
          </w:p>
        </w:tc>
      </w:tr>
      <w:tr w:rsidR="00BF560E" w:rsidRPr="00296E53" w14:paraId="105A6062" w14:textId="77777777" w:rsidTr="00E705F7">
        <w:trPr>
          <w:trHeight w:val="20"/>
        </w:trPr>
        <w:tc>
          <w:tcPr>
            <w:tcW w:w="991" w:type="dxa"/>
            <w:shd w:val="clear" w:color="auto" w:fill="E1F4FF"/>
            <w:vAlign w:val="center"/>
          </w:tcPr>
          <w:p w14:paraId="3D1697B1" w14:textId="77777777" w:rsidR="00365D05" w:rsidRPr="00296E53" w:rsidRDefault="00365D05"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5594" w:type="dxa"/>
            <w:shd w:val="clear" w:color="auto" w:fill="E1F4FF"/>
            <w:tcMar>
              <w:top w:w="72" w:type="dxa"/>
              <w:left w:w="144" w:type="dxa"/>
              <w:bottom w:w="72" w:type="dxa"/>
              <w:right w:w="144" w:type="dxa"/>
            </w:tcMar>
            <w:vAlign w:val="center"/>
            <w:hideMark/>
          </w:tcPr>
          <w:p w14:paraId="26C63A18" w14:textId="77777777" w:rsidR="00365D05" w:rsidRPr="00296E53" w:rsidRDefault="00365D05"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 de Transporte Urbano de Pasajeros </w:t>
            </w:r>
          </w:p>
        </w:tc>
        <w:tc>
          <w:tcPr>
            <w:tcW w:w="1336" w:type="dxa"/>
            <w:shd w:val="clear" w:color="auto" w:fill="E1F4FF"/>
            <w:tcMar>
              <w:top w:w="72" w:type="dxa"/>
              <w:left w:w="144" w:type="dxa"/>
              <w:bottom w:w="72" w:type="dxa"/>
              <w:right w:w="144" w:type="dxa"/>
            </w:tcMar>
            <w:vAlign w:val="center"/>
          </w:tcPr>
          <w:p w14:paraId="1DAF6790" w14:textId="77777777" w:rsidR="00365D05" w:rsidRPr="00296E53" w:rsidRDefault="00365D05"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Mensual</w:t>
            </w:r>
          </w:p>
        </w:tc>
        <w:tc>
          <w:tcPr>
            <w:tcW w:w="1526" w:type="dxa"/>
            <w:shd w:val="clear" w:color="auto" w:fill="E1F4FF"/>
            <w:vAlign w:val="center"/>
          </w:tcPr>
          <w:p w14:paraId="6D24C5AB" w14:textId="77777777" w:rsidR="00365D05" w:rsidRPr="00296E53" w:rsidRDefault="00365D05"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6</w:t>
            </w:r>
          </w:p>
        </w:tc>
        <w:tc>
          <w:tcPr>
            <w:tcW w:w="1531" w:type="dxa"/>
            <w:shd w:val="clear" w:color="auto" w:fill="E1F4FF"/>
            <w:vAlign w:val="center"/>
          </w:tcPr>
          <w:p w14:paraId="36C02077" w14:textId="77777777" w:rsidR="00365D05" w:rsidRPr="00296E53" w:rsidRDefault="00365D05"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6</w:t>
            </w:r>
          </w:p>
        </w:tc>
        <w:tc>
          <w:tcPr>
            <w:tcW w:w="1530" w:type="dxa"/>
            <w:shd w:val="clear" w:color="auto" w:fill="E1F4FF"/>
            <w:vAlign w:val="center"/>
          </w:tcPr>
          <w:p w14:paraId="03AA4C14" w14:textId="1E52A8D8" w:rsidR="00365D05" w:rsidRPr="00296E53" w:rsidRDefault="00365D05"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r w:rsidR="0022003B">
              <w:rPr>
                <w:rFonts w:ascii="Century Gothic" w:hAnsi="Century Gothic"/>
                <w:color w:val="000000"/>
                <w:sz w:val="17"/>
                <w:szCs w:val="17"/>
              </w:rPr>
              <w:t>2</w:t>
            </w:r>
          </w:p>
        </w:tc>
        <w:tc>
          <w:tcPr>
            <w:tcW w:w="1667" w:type="dxa"/>
            <w:shd w:val="clear" w:color="auto" w:fill="E1F4FF"/>
            <w:vAlign w:val="center"/>
          </w:tcPr>
          <w:p w14:paraId="37353C63" w14:textId="4BFB0610" w:rsidR="00365D05" w:rsidRPr="00296E53" w:rsidRDefault="00365D05"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r w:rsidR="0022003B">
              <w:rPr>
                <w:rFonts w:ascii="Century Gothic" w:hAnsi="Century Gothic"/>
                <w:color w:val="000000"/>
                <w:sz w:val="17"/>
                <w:szCs w:val="17"/>
              </w:rPr>
              <w:t>2</w:t>
            </w:r>
          </w:p>
        </w:tc>
      </w:tr>
      <w:tr w:rsidR="00BF560E" w:rsidRPr="00296E53" w14:paraId="7F9C29E0" w14:textId="77777777" w:rsidTr="00E705F7">
        <w:trPr>
          <w:trHeight w:val="20"/>
        </w:trPr>
        <w:tc>
          <w:tcPr>
            <w:tcW w:w="991" w:type="dxa"/>
            <w:shd w:val="clear" w:color="auto" w:fill="E1F4FF"/>
            <w:vAlign w:val="center"/>
          </w:tcPr>
          <w:p w14:paraId="76304ED7" w14:textId="77777777" w:rsidR="00365D05" w:rsidRPr="00296E53" w:rsidRDefault="00365D05"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5594" w:type="dxa"/>
            <w:shd w:val="clear" w:color="auto" w:fill="E1F4FF"/>
            <w:tcMar>
              <w:top w:w="72" w:type="dxa"/>
              <w:left w:w="144" w:type="dxa"/>
              <w:bottom w:w="72" w:type="dxa"/>
              <w:right w:w="144" w:type="dxa"/>
            </w:tcMar>
            <w:vAlign w:val="center"/>
            <w:hideMark/>
          </w:tcPr>
          <w:p w14:paraId="364D73A2" w14:textId="77777777" w:rsidR="00365D05" w:rsidRPr="00296E53" w:rsidRDefault="00365D05"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Vehículos de Motor Registrados en Circulación </w:t>
            </w:r>
          </w:p>
        </w:tc>
        <w:tc>
          <w:tcPr>
            <w:tcW w:w="1336" w:type="dxa"/>
            <w:shd w:val="clear" w:color="auto" w:fill="E1F4FF"/>
            <w:tcMar>
              <w:top w:w="72" w:type="dxa"/>
              <w:left w:w="144" w:type="dxa"/>
              <w:bottom w:w="72" w:type="dxa"/>
              <w:right w:w="144" w:type="dxa"/>
            </w:tcMar>
            <w:vAlign w:val="center"/>
          </w:tcPr>
          <w:p w14:paraId="5459EC7C" w14:textId="77777777" w:rsidR="00365D05" w:rsidRPr="00296E53" w:rsidRDefault="00365D05"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Mensual</w:t>
            </w:r>
          </w:p>
        </w:tc>
        <w:tc>
          <w:tcPr>
            <w:tcW w:w="1526" w:type="dxa"/>
            <w:shd w:val="clear" w:color="auto" w:fill="E1F4FF"/>
            <w:vAlign w:val="center"/>
          </w:tcPr>
          <w:p w14:paraId="18D23AB3" w14:textId="77777777" w:rsidR="00365D05" w:rsidRPr="00296E53" w:rsidRDefault="00365D05"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6</w:t>
            </w:r>
          </w:p>
        </w:tc>
        <w:tc>
          <w:tcPr>
            <w:tcW w:w="1531" w:type="dxa"/>
            <w:shd w:val="clear" w:color="auto" w:fill="E1F4FF"/>
            <w:vAlign w:val="center"/>
          </w:tcPr>
          <w:p w14:paraId="54229CD9" w14:textId="77777777" w:rsidR="00365D05" w:rsidRPr="00296E53" w:rsidRDefault="00365D05"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6</w:t>
            </w:r>
          </w:p>
        </w:tc>
        <w:tc>
          <w:tcPr>
            <w:tcW w:w="1530" w:type="dxa"/>
            <w:shd w:val="clear" w:color="auto" w:fill="E1F4FF"/>
            <w:vAlign w:val="center"/>
          </w:tcPr>
          <w:p w14:paraId="4EE81709" w14:textId="77777777" w:rsidR="00365D05" w:rsidRPr="00296E53" w:rsidRDefault="00365D05"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12</w:t>
            </w:r>
          </w:p>
        </w:tc>
        <w:tc>
          <w:tcPr>
            <w:tcW w:w="1667" w:type="dxa"/>
            <w:shd w:val="clear" w:color="auto" w:fill="E1F4FF"/>
            <w:vAlign w:val="center"/>
          </w:tcPr>
          <w:p w14:paraId="38C884D1" w14:textId="77777777" w:rsidR="00365D05" w:rsidRPr="00296E53" w:rsidRDefault="00365D05"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12</w:t>
            </w:r>
          </w:p>
        </w:tc>
      </w:tr>
      <w:tr w:rsidR="00121DC3" w:rsidRPr="00296E53" w14:paraId="053E0D8E" w14:textId="77777777" w:rsidTr="00E705F7">
        <w:trPr>
          <w:trHeight w:val="20"/>
        </w:trPr>
        <w:tc>
          <w:tcPr>
            <w:tcW w:w="991" w:type="dxa"/>
            <w:shd w:val="clear" w:color="auto" w:fill="FFFFFF" w:themeFill="background1"/>
            <w:vAlign w:val="center"/>
          </w:tcPr>
          <w:p w14:paraId="24FF826B"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5594" w:type="dxa"/>
            <w:shd w:val="clear" w:color="auto" w:fill="FFFFFF" w:themeFill="background1"/>
            <w:tcMar>
              <w:top w:w="72" w:type="dxa"/>
              <w:left w:w="144" w:type="dxa"/>
              <w:bottom w:w="72" w:type="dxa"/>
              <w:right w:w="144" w:type="dxa"/>
            </w:tcMar>
            <w:vAlign w:val="center"/>
            <w:hideMark/>
          </w:tcPr>
          <w:p w14:paraId="793B0913"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Vehículos de Motor Registrados en Circulación </w:t>
            </w:r>
          </w:p>
        </w:tc>
        <w:tc>
          <w:tcPr>
            <w:tcW w:w="1336" w:type="dxa"/>
            <w:shd w:val="clear" w:color="auto" w:fill="FFFFFF" w:themeFill="background1"/>
            <w:tcMar>
              <w:top w:w="72" w:type="dxa"/>
              <w:left w:w="144" w:type="dxa"/>
              <w:bottom w:w="72" w:type="dxa"/>
              <w:right w:w="144" w:type="dxa"/>
            </w:tcMar>
            <w:vAlign w:val="center"/>
          </w:tcPr>
          <w:p w14:paraId="68D825AC"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472A166B"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34AAE608"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FF0000"/>
                <w:sz w:val="17"/>
                <w:szCs w:val="17"/>
              </w:rPr>
              <w:t>-</w:t>
            </w:r>
          </w:p>
        </w:tc>
        <w:tc>
          <w:tcPr>
            <w:tcW w:w="1530" w:type="dxa"/>
            <w:shd w:val="clear" w:color="auto" w:fill="FFFFFF" w:themeFill="background1"/>
            <w:vAlign w:val="center"/>
          </w:tcPr>
          <w:p w14:paraId="1B478E9C" w14:textId="77777777" w:rsidR="00121DC3" w:rsidRPr="00296E53" w:rsidRDefault="00121DC3"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000000"/>
                <w:sz w:val="17"/>
                <w:szCs w:val="17"/>
              </w:rPr>
              <w:t>1</w:t>
            </w:r>
          </w:p>
        </w:tc>
        <w:tc>
          <w:tcPr>
            <w:tcW w:w="1667" w:type="dxa"/>
            <w:shd w:val="clear" w:color="auto" w:fill="FFFFFF" w:themeFill="background1"/>
            <w:vAlign w:val="center"/>
          </w:tcPr>
          <w:p w14:paraId="2336B803" w14:textId="77777777" w:rsidR="00121DC3" w:rsidRPr="00296E53" w:rsidRDefault="00121DC3"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000000"/>
                <w:sz w:val="17"/>
                <w:szCs w:val="17"/>
              </w:rPr>
              <w:t>-</w:t>
            </w:r>
          </w:p>
        </w:tc>
      </w:tr>
      <w:tr w:rsidR="00BF560E" w:rsidRPr="00296E53" w14:paraId="20CEBD30" w14:textId="77777777" w:rsidTr="00E705F7">
        <w:trPr>
          <w:trHeight w:val="20"/>
        </w:trPr>
        <w:tc>
          <w:tcPr>
            <w:tcW w:w="991" w:type="dxa"/>
            <w:shd w:val="clear" w:color="auto" w:fill="FFFFFF" w:themeFill="background1"/>
            <w:vAlign w:val="center"/>
          </w:tcPr>
          <w:p w14:paraId="389AB87C" w14:textId="77777777" w:rsidR="00BF560E" w:rsidRPr="00296E53" w:rsidRDefault="00BF560E"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DGEE</w:t>
            </w:r>
          </w:p>
        </w:tc>
        <w:tc>
          <w:tcPr>
            <w:tcW w:w="5594" w:type="dxa"/>
            <w:shd w:val="clear" w:color="auto" w:fill="FFFFFF" w:themeFill="background1"/>
            <w:tcMar>
              <w:top w:w="72" w:type="dxa"/>
              <w:left w:w="144" w:type="dxa"/>
              <w:bottom w:w="72" w:type="dxa"/>
              <w:right w:w="144" w:type="dxa"/>
            </w:tcMar>
            <w:vAlign w:val="center"/>
          </w:tcPr>
          <w:p w14:paraId="22A433DB" w14:textId="77777777" w:rsidR="00BF560E" w:rsidRPr="00296E53" w:rsidRDefault="00BF560E" w:rsidP="00F91D0B">
            <w:pPr>
              <w:spacing w:after="0" w:line="240" w:lineRule="auto"/>
              <w:rPr>
                <w:rFonts w:ascii="Century Gothic" w:hAnsi="Century Gothic"/>
                <w:color w:val="000000"/>
                <w:sz w:val="17"/>
                <w:szCs w:val="17"/>
              </w:rPr>
            </w:pPr>
            <w:r w:rsidRPr="00296E53">
              <w:rPr>
                <w:rFonts w:ascii="Century Gothic" w:hAnsi="Century Gothic"/>
                <w:color w:val="000000"/>
                <w:sz w:val="17"/>
                <w:szCs w:val="17"/>
              </w:rPr>
              <w:t>Estadística de Finanzas Públicas Estatales y Municipales a/</w:t>
            </w:r>
          </w:p>
        </w:tc>
        <w:tc>
          <w:tcPr>
            <w:tcW w:w="1336" w:type="dxa"/>
            <w:shd w:val="clear" w:color="auto" w:fill="FFFFFF" w:themeFill="background1"/>
            <w:tcMar>
              <w:top w:w="72" w:type="dxa"/>
              <w:left w:w="144" w:type="dxa"/>
              <w:bottom w:w="72" w:type="dxa"/>
              <w:right w:w="144" w:type="dxa"/>
            </w:tcMar>
            <w:vAlign w:val="center"/>
          </w:tcPr>
          <w:p w14:paraId="106624FD" w14:textId="77777777" w:rsidR="00BF560E" w:rsidRPr="00296E53" w:rsidRDefault="00BF560E"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39A5BBE0" w14:textId="77777777" w:rsidR="00BF560E" w:rsidRPr="00296E53" w:rsidRDefault="00BF560E" w:rsidP="00F91D0B">
            <w:pPr>
              <w:spacing w:after="0" w:line="240" w:lineRule="auto"/>
              <w:ind w:left="1"/>
              <w:jc w:val="center"/>
              <w:rPr>
                <w:rFonts w:ascii="Century Gothic" w:hAnsi="Century Gothic"/>
                <w:color w:val="000000"/>
                <w:sz w:val="17"/>
                <w:szCs w:val="17"/>
              </w:rPr>
            </w:pPr>
            <w:r w:rsidRPr="00296E53">
              <w:rPr>
                <w:rFonts w:ascii="Century Gothic" w:hAnsi="Century Gothic"/>
                <w:color w:val="000000"/>
                <w:sz w:val="17"/>
                <w:szCs w:val="17"/>
              </w:rPr>
              <w:t>3</w:t>
            </w:r>
          </w:p>
        </w:tc>
        <w:tc>
          <w:tcPr>
            <w:tcW w:w="1531" w:type="dxa"/>
            <w:shd w:val="clear" w:color="auto" w:fill="FFFFFF" w:themeFill="background1"/>
            <w:vAlign w:val="center"/>
          </w:tcPr>
          <w:p w14:paraId="26256288" w14:textId="77777777" w:rsidR="00BF560E" w:rsidRPr="00296E53" w:rsidRDefault="00BF560E"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000000"/>
                <w:sz w:val="17"/>
                <w:szCs w:val="17"/>
              </w:rPr>
              <w:t>3</w:t>
            </w:r>
          </w:p>
        </w:tc>
        <w:tc>
          <w:tcPr>
            <w:tcW w:w="1530" w:type="dxa"/>
            <w:shd w:val="clear" w:color="auto" w:fill="FFFFFF" w:themeFill="background1"/>
            <w:vAlign w:val="center"/>
          </w:tcPr>
          <w:p w14:paraId="0341D34D" w14:textId="2B0D94A2" w:rsidR="00BF560E" w:rsidRPr="00296E53" w:rsidRDefault="0022003B" w:rsidP="00F91D0B">
            <w:pPr>
              <w:spacing w:after="0" w:line="240" w:lineRule="auto"/>
              <w:ind w:left="66"/>
              <w:jc w:val="center"/>
              <w:rPr>
                <w:rFonts w:ascii="Century Gothic" w:hAnsi="Century Gothic"/>
                <w:color w:val="000000"/>
                <w:sz w:val="17"/>
                <w:szCs w:val="17"/>
              </w:rPr>
            </w:pPr>
            <w:r>
              <w:rPr>
                <w:rFonts w:ascii="Century Gothic" w:hAnsi="Century Gothic"/>
                <w:color w:val="000000"/>
                <w:sz w:val="17"/>
                <w:szCs w:val="17"/>
              </w:rPr>
              <w:t>4</w:t>
            </w:r>
          </w:p>
        </w:tc>
        <w:tc>
          <w:tcPr>
            <w:tcW w:w="1667" w:type="dxa"/>
            <w:shd w:val="clear" w:color="auto" w:fill="FFFFFF" w:themeFill="background1"/>
            <w:vAlign w:val="center"/>
          </w:tcPr>
          <w:p w14:paraId="0F53E6ED" w14:textId="356064E1" w:rsidR="00BF560E" w:rsidRPr="00296E53" w:rsidRDefault="0022003B" w:rsidP="00F91D0B">
            <w:pPr>
              <w:spacing w:after="0" w:line="240" w:lineRule="auto"/>
              <w:ind w:left="66"/>
              <w:jc w:val="center"/>
              <w:rPr>
                <w:rFonts w:ascii="Century Gothic" w:hAnsi="Century Gothic"/>
                <w:color w:val="000000"/>
                <w:sz w:val="17"/>
                <w:szCs w:val="17"/>
              </w:rPr>
            </w:pPr>
            <w:r>
              <w:rPr>
                <w:rFonts w:ascii="Century Gothic" w:hAnsi="Century Gothic"/>
                <w:color w:val="000000"/>
                <w:sz w:val="17"/>
                <w:szCs w:val="17"/>
              </w:rPr>
              <w:t>4</w:t>
            </w:r>
          </w:p>
        </w:tc>
      </w:tr>
      <w:tr w:rsidR="00BF560E" w:rsidRPr="00296E53" w14:paraId="4D552DAC" w14:textId="77777777" w:rsidTr="00E705F7">
        <w:trPr>
          <w:trHeight w:val="20"/>
        </w:trPr>
        <w:tc>
          <w:tcPr>
            <w:tcW w:w="991" w:type="dxa"/>
            <w:shd w:val="clear" w:color="auto" w:fill="FFFFFF" w:themeFill="background1"/>
            <w:vAlign w:val="center"/>
          </w:tcPr>
          <w:p w14:paraId="363C8F90" w14:textId="77777777" w:rsidR="00BF560E" w:rsidRPr="00296E53" w:rsidRDefault="00BF560E"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5594" w:type="dxa"/>
            <w:shd w:val="clear" w:color="auto" w:fill="FFFFFF" w:themeFill="background1"/>
            <w:tcMar>
              <w:top w:w="72" w:type="dxa"/>
              <w:left w:w="144" w:type="dxa"/>
              <w:bottom w:w="72" w:type="dxa"/>
              <w:right w:w="144" w:type="dxa"/>
            </w:tcMar>
            <w:vAlign w:val="center"/>
          </w:tcPr>
          <w:p w14:paraId="4C5C58D6" w14:textId="77777777" w:rsidR="00BF560E" w:rsidRPr="00296E53" w:rsidRDefault="00BF560E"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 de Accidentes de Tránsito Terrestre en Zonas Urbanas y Suburbanas </w:t>
            </w:r>
          </w:p>
        </w:tc>
        <w:tc>
          <w:tcPr>
            <w:tcW w:w="1336" w:type="dxa"/>
            <w:shd w:val="clear" w:color="auto" w:fill="FFFFFF" w:themeFill="background1"/>
            <w:tcMar>
              <w:top w:w="72" w:type="dxa"/>
              <w:left w:w="144" w:type="dxa"/>
              <w:bottom w:w="72" w:type="dxa"/>
              <w:right w:w="144" w:type="dxa"/>
            </w:tcMar>
            <w:vAlign w:val="center"/>
          </w:tcPr>
          <w:p w14:paraId="0DC8D533" w14:textId="77777777" w:rsidR="00BF560E" w:rsidRPr="00296E53" w:rsidRDefault="00BF560E"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6CA7B5A1" w14:textId="77777777" w:rsidR="00BF560E" w:rsidRPr="00296E53" w:rsidRDefault="00BF560E"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78EFD2DA" w14:textId="77777777" w:rsidR="00BF560E" w:rsidRPr="00296E53" w:rsidRDefault="00BF560E"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FFFFFF" w:themeFill="background1"/>
            <w:vAlign w:val="center"/>
          </w:tcPr>
          <w:p w14:paraId="2378EEA8" w14:textId="77777777" w:rsidR="00BF560E" w:rsidRPr="00296E53" w:rsidRDefault="00BF560E"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FFFFFF" w:themeFill="background1"/>
            <w:vAlign w:val="center"/>
          </w:tcPr>
          <w:p w14:paraId="71686770" w14:textId="77777777" w:rsidR="00BF560E" w:rsidRPr="00296E53" w:rsidRDefault="00BF560E"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BF560E" w:rsidRPr="00296E53" w14:paraId="348E4599" w14:textId="77777777" w:rsidTr="00E705F7">
        <w:trPr>
          <w:trHeight w:val="20"/>
        </w:trPr>
        <w:tc>
          <w:tcPr>
            <w:tcW w:w="991" w:type="dxa"/>
            <w:shd w:val="clear" w:color="auto" w:fill="E1F4FF"/>
            <w:vAlign w:val="center"/>
          </w:tcPr>
          <w:p w14:paraId="57C5EE3C"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5594" w:type="dxa"/>
            <w:shd w:val="clear" w:color="auto" w:fill="E1F4FF"/>
            <w:tcMar>
              <w:top w:w="72" w:type="dxa"/>
              <w:left w:w="144" w:type="dxa"/>
              <w:bottom w:w="72" w:type="dxa"/>
              <w:right w:w="144" w:type="dxa"/>
            </w:tcMar>
            <w:vAlign w:val="center"/>
            <w:hideMark/>
          </w:tcPr>
          <w:p w14:paraId="5F5149F6"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Estadísticas Vitales. Defunciones Registradas </w:t>
            </w:r>
          </w:p>
        </w:tc>
        <w:tc>
          <w:tcPr>
            <w:tcW w:w="1336" w:type="dxa"/>
            <w:shd w:val="clear" w:color="auto" w:fill="E1F4FF"/>
            <w:tcMar>
              <w:top w:w="72" w:type="dxa"/>
              <w:left w:w="144" w:type="dxa"/>
              <w:bottom w:w="72" w:type="dxa"/>
              <w:right w:w="144" w:type="dxa"/>
            </w:tcMar>
            <w:vAlign w:val="center"/>
          </w:tcPr>
          <w:p w14:paraId="4C8F5E39"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E1F4FF"/>
            <w:vAlign w:val="center"/>
          </w:tcPr>
          <w:p w14:paraId="331E9437"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E1F4FF"/>
            <w:vAlign w:val="center"/>
          </w:tcPr>
          <w:p w14:paraId="3728BDD9"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E1F4FF"/>
            <w:vAlign w:val="center"/>
          </w:tcPr>
          <w:p w14:paraId="31080CB1"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E1F4FF"/>
            <w:vAlign w:val="center"/>
          </w:tcPr>
          <w:p w14:paraId="1CDBBA7E"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BF560E" w:rsidRPr="00296E53" w14:paraId="5CC6FFCB" w14:textId="77777777" w:rsidTr="00E705F7">
        <w:trPr>
          <w:trHeight w:val="20"/>
        </w:trPr>
        <w:tc>
          <w:tcPr>
            <w:tcW w:w="991" w:type="dxa"/>
            <w:shd w:val="clear" w:color="auto" w:fill="E1F4FF"/>
            <w:vAlign w:val="center"/>
          </w:tcPr>
          <w:p w14:paraId="5110BF8B" w14:textId="77777777" w:rsidR="00121DC3" w:rsidRPr="00296E53" w:rsidRDefault="00121DC3"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DGES</w:t>
            </w:r>
          </w:p>
        </w:tc>
        <w:tc>
          <w:tcPr>
            <w:tcW w:w="5594" w:type="dxa"/>
            <w:shd w:val="clear" w:color="auto" w:fill="E1F4FF"/>
            <w:tcMar>
              <w:top w:w="72" w:type="dxa"/>
              <w:left w:w="144" w:type="dxa"/>
              <w:bottom w:w="72" w:type="dxa"/>
              <w:right w:w="144" w:type="dxa"/>
            </w:tcMar>
            <w:vAlign w:val="center"/>
          </w:tcPr>
          <w:p w14:paraId="0A9123D9" w14:textId="77777777" w:rsidR="00121DC3" w:rsidRPr="00296E53" w:rsidRDefault="00121DC3" w:rsidP="00F91D0B">
            <w:pPr>
              <w:spacing w:after="0" w:line="240" w:lineRule="auto"/>
              <w:rPr>
                <w:rFonts w:ascii="Century Gothic" w:hAnsi="Century Gothic"/>
                <w:color w:val="000000"/>
                <w:sz w:val="17"/>
                <w:szCs w:val="17"/>
              </w:rPr>
            </w:pPr>
            <w:r w:rsidRPr="00296E53">
              <w:rPr>
                <w:rFonts w:ascii="Century Gothic" w:hAnsi="Century Gothic"/>
                <w:color w:val="000000"/>
                <w:sz w:val="17"/>
                <w:szCs w:val="17"/>
              </w:rPr>
              <w:t>Estadísticas de mortalidad. Defunciones por homicidio</w:t>
            </w:r>
          </w:p>
        </w:tc>
        <w:tc>
          <w:tcPr>
            <w:tcW w:w="1336" w:type="dxa"/>
            <w:shd w:val="clear" w:color="auto" w:fill="E1F4FF"/>
            <w:tcMar>
              <w:top w:w="72" w:type="dxa"/>
              <w:left w:w="144" w:type="dxa"/>
              <w:bottom w:w="72" w:type="dxa"/>
              <w:right w:w="144" w:type="dxa"/>
            </w:tcMar>
            <w:vAlign w:val="center"/>
          </w:tcPr>
          <w:p w14:paraId="7D18E1F8" w14:textId="77777777" w:rsidR="00121DC3" w:rsidRPr="00296E53" w:rsidRDefault="00121DC3"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Anual</w:t>
            </w:r>
          </w:p>
        </w:tc>
        <w:tc>
          <w:tcPr>
            <w:tcW w:w="1526" w:type="dxa"/>
            <w:shd w:val="clear" w:color="auto" w:fill="E1F4FF"/>
            <w:vAlign w:val="center"/>
          </w:tcPr>
          <w:p w14:paraId="3EA1D264" w14:textId="77777777" w:rsidR="00121DC3" w:rsidRPr="00296E53" w:rsidRDefault="00121DC3" w:rsidP="00F91D0B">
            <w:pPr>
              <w:spacing w:after="0" w:line="240" w:lineRule="auto"/>
              <w:ind w:left="1"/>
              <w:jc w:val="center"/>
              <w:rPr>
                <w:rFonts w:ascii="Century Gothic" w:hAnsi="Century Gothic"/>
                <w:color w:val="000000"/>
                <w:sz w:val="17"/>
                <w:szCs w:val="17"/>
              </w:rPr>
            </w:pPr>
          </w:p>
        </w:tc>
        <w:tc>
          <w:tcPr>
            <w:tcW w:w="1531" w:type="dxa"/>
            <w:shd w:val="clear" w:color="auto" w:fill="E1F4FF"/>
            <w:vAlign w:val="center"/>
          </w:tcPr>
          <w:p w14:paraId="6111245D" w14:textId="77777777" w:rsidR="00121DC3" w:rsidRPr="00296E53" w:rsidRDefault="00121DC3" w:rsidP="00F91D0B">
            <w:pPr>
              <w:spacing w:after="0" w:line="240" w:lineRule="auto"/>
              <w:ind w:left="66"/>
              <w:jc w:val="center"/>
              <w:rPr>
                <w:rFonts w:ascii="Century Gothic" w:hAnsi="Century Gothic"/>
                <w:color w:val="000000"/>
                <w:sz w:val="17"/>
                <w:szCs w:val="17"/>
              </w:rPr>
            </w:pPr>
          </w:p>
        </w:tc>
        <w:tc>
          <w:tcPr>
            <w:tcW w:w="1530" w:type="dxa"/>
            <w:shd w:val="clear" w:color="auto" w:fill="E1F4FF"/>
            <w:vAlign w:val="center"/>
          </w:tcPr>
          <w:p w14:paraId="69ACDC0C"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E1F4FF"/>
            <w:vAlign w:val="center"/>
          </w:tcPr>
          <w:p w14:paraId="2782B784"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w:t>
            </w:r>
          </w:p>
        </w:tc>
      </w:tr>
      <w:tr w:rsidR="00BF560E" w:rsidRPr="00296E53" w14:paraId="02E655CD" w14:textId="77777777" w:rsidTr="00E705F7">
        <w:trPr>
          <w:trHeight w:val="20"/>
        </w:trPr>
        <w:tc>
          <w:tcPr>
            <w:tcW w:w="991" w:type="dxa"/>
            <w:shd w:val="clear" w:color="auto" w:fill="E1F4FF"/>
            <w:vAlign w:val="center"/>
          </w:tcPr>
          <w:p w14:paraId="594FFB77"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5594" w:type="dxa"/>
            <w:shd w:val="clear" w:color="auto" w:fill="E1F4FF"/>
            <w:tcMar>
              <w:top w:w="72" w:type="dxa"/>
              <w:left w:w="144" w:type="dxa"/>
              <w:bottom w:w="72" w:type="dxa"/>
              <w:right w:w="144" w:type="dxa"/>
            </w:tcMar>
            <w:vAlign w:val="center"/>
            <w:hideMark/>
          </w:tcPr>
          <w:p w14:paraId="6C6EF392"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Estadísticas Vitales. Defunciones Fetales </w:t>
            </w:r>
          </w:p>
        </w:tc>
        <w:tc>
          <w:tcPr>
            <w:tcW w:w="1336" w:type="dxa"/>
            <w:shd w:val="clear" w:color="auto" w:fill="E1F4FF"/>
            <w:tcMar>
              <w:top w:w="72" w:type="dxa"/>
              <w:left w:w="144" w:type="dxa"/>
              <w:bottom w:w="72" w:type="dxa"/>
              <w:right w:w="144" w:type="dxa"/>
            </w:tcMar>
            <w:vAlign w:val="center"/>
          </w:tcPr>
          <w:p w14:paraId="77832517"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E1F4FF"/>
            <w:vAlign w:val="center"/>
          </w:tcPr>
          <w:p w14:paraId="7D32E9B3"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E1F4FF"/>
            <w:vAlign w:val="center"/>
          </w:tcPr>
          <w:p w14:paraId="253C6C18"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E1F4FF"/>
            <w:vAlign w:val="center"/>
          </w:tcPr>
          <w:p w14:paraId="1A0B9622"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E1F4FF"/>
            <w:vAlign w:val="center"/>
          </w:tcPr>
          <w:p w14:paraId="498B5FC8"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w:t>
            </w:r>
          </w:p>
        </w:tc>
      </w:tr>
      <w:tr w:rsidR="00121DC3" w:rsidRPr="00296E53" w14:paraId="674684C3" w14:textId="77777777" w:rsidTr="00E705F7">
        <w:trPr>
          <w:trHeight w:val="20"/>
        </w:trPr>
        <w:tc>
          <w:tcPr>
            <w:tcW w:w="991" w:type="dxa"/>
            <w:shd w:val="clear" w:color="auto" w:fill="FFFFFF" w:themeFill="background1"/>
            <w:vAlign w:val="center"/>
          </w:tcPr>
          <w:p w14:paraId="59763A4A"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5594" w:type="dxa"/>
            <w:shd w:val="clear" w:color="auto" w:fill="FFFFFF" w:themeFill="background1"/>
            <w:tcMar>
              <w:top w:w="72" w:type="dxa"/>
              <w:left w:w="144" w:type="dxa"/>
              <w:bottom w:w="72" w:type="dxa"/>
              <w:right w:w="144" w:type="dxa"/>
            </w:tcMar>
            <w:vAlign w:val="center"/>
            <w:hideMark/>
          </w:tcPr>
          <w:p w14:paraId="27A71828"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Estadísticas Vitales. Natalidad </w:t>
            </w:r>
          </w:p>
        </w:tc>
        <w:tc>
          <w:tcPr>
            <w:tcW w:w="1336" w:type="dxa"/>
            <w:shd w:val="clear" w:color="auto" w:fill="FFFFFF" w:themeFill="background1"/>
            <w:tcMar>
              <w:top w:w="72" w:type="dxa"/>
              <w:left w:w="144" w:type="dxa"/>
              <w:bottom w:w="72" w:type="dxa"/>
              <w:right w:w="144" w:type="dxa"/>
            </w:tcMar>
            <w:vAlign w:val="center"/>
          </w:tcPr>
          <w:p w14:paraId="505676E5"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201C0A28"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6EBE67A3"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FFFFFF" w:themeFill="background1"/>
          </w:tcPr>
          <w:p w14:paraId="199AC085" w14:textId="77777777" w:rsidR="00121DC3" w:rsidRPr="00296E53" w:rsidRDefault="00121DC3" w:rsidP="00F91D0B">
            <w:pPr>
              <w:spacing w:after="0" w:line="240" w:lineRule="auto"/>
              <w:ind w:left="66"/>
              <w:jc w:val="center"/>
              <w:rPr>
                <w:rFonts w:ascii="Century Gothic" w:hAnsi="Century Gothic"/>
                <w:color w:val="000000"/>
                <w:sz w:val="17"/>
                <w:szCs w:val="17"/>
              </w:rPr>
            </w:pPr>
          </w:p>
        </w:tc>
        <w:tc>
          <w:tcPr>
            <w:tcW w:w="1667" w:type="dxa"/>
            <w:shd w:val="clear" w:color="auto" w:fill="FFFFFF" w:themeFill="background1"/>
          </w:tcPr>
          <w:p w14:paraId="60D85BCC" w14:textId="77777777" w:rsidR="00121DC3" w:rsidRPr="00296E53" w:rsidRDefault="00121DC3" w:rsidP="00F91D0B">
            <w:pPr>
              <w:spacing w:after="0" w:line="240" w:lineRule="auto"/>
              <w:ind w:left="66"/>
              <w:jc w:val="center"/>
              <w:rPr>
                <w:rFonts w:ascii="Century Gothic" w:hAnsi="Century Gothic"/>
                <w:color w:val="000000"/>
                <w:sz w:val="17"/>
                <w:szCs w:val="17"/>
              </w:rPr>
            </w:pPr>
          </w:p>
        </w:tc>
      </w:tr>
      <w:tr w:rsidR="00121DC3" w:rsidRPr="00296E53" w14:paraId="7C1FB6C3" w14:textId="77777777" w:rsidTr="00E705F7">
        <w:trPr>
          <w:trHeight w:val="20"/>
        </w:trPr>
        <w:tc>
          <w:tcPr>
            <w:tcW w:w="991" w:type="dxa"/>
            <w:shd w:val="clear" w:color="auto" w:fill="FFFFFF" w:themeFill="background1"/>
            <w:vAlign w:val="center"/>
          </w:tcPr>
          <w:p w14:paraId="17601D03"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5594" w:type="dxa"/>
            <w:shd w:val="clear" w:color="auto" w:fill="FFFFFF" w:themeFill="background1"/>
            <w:tcMar>
              <w:top w:w="72" w:type="dxa"/>
              <w:left w:w="144" w:type="dxa"/>
              <w:bottom w:w="72" w:type="dxa"/>
              <w:right w:w="144" w:type="dxa"/>
            </w:tcMar>
            <w:vAlign w:val="center"/>
            <w:hideMark/>
          </w:tcPr>
          <w:p w14:paraId="5D45AC58"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Estadísticas Vitales. Matrimonios  </w:t>
            </w:r>
          </w:p>
        </w:tc>
        <w:tc>
          <w:tcPr>
            <w:tcW w:w="1336" w:type="dxa"/>
            <w:shd w:val="clear" w:color="auto" w:fill="FFFFFF" w:themeFill="background1"/>
            <w:tcMar>
              <w:top w:w="72" w:type="dxa"/>
              <w:left w:w="144" w:type="dxa"/>
              <w:bottom w:w="72" w:type="dxa"/>
              <w:right w:w="144" w:type="dxa"/>
            </w:tcMar>
            <w:vAlign w:val="center"/>
          </w:tcPr>
          <w:p w14:paraId="54F184E8"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5084A96C"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0C6478B7"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FFFFFF" w:themeFill="background1"/>
            <w:vAlign w:val="center"/>
          </w:tcPr>
          <w:p w14:paraId="0577CE37"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FFFFFF" w:themeFill="background1"/>
            <w:vAlign w:val="center"/>
          </w:tcPr>
          <w:p w14:paraId="602EBD44"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121DC3" w:rsidRPr="00296E53" w14:paraId="12338C6B" w14:textId="77777777" w:rsidTr="00E705F7">
        <w:trPr>
          <w:trHeight w:val="20"/>
        </w:trPr>
        <w:tc>
          <w:tcPr>
            <w:tcW w:w="991" w:type="dxa"/>
            <w:shd w:val="clear" w:color="auto" w:fill="FFFFFF" w:themeFill="background1"/>
            <w:vAlign w:val="center"/>
          </w:tcPr>
          <w:p w14:paraId="67B3479B"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5594" w:type="dxa"/>
            <w:shd w:val="clear" w:color="auto" w:fill="FFFFFF" w:themeFill="background1"/>
            <w:tcMar>
              <w:top w:w="72" w:type="dxa"/>
              <w:left w:w="144" w:type="dxa"/>
              <w:bottom w:w="72" w:type="dxa"/>
              <w:right w:w="144" w:type="dxa"/>
            </w:tcMar>
            <w:vAlign w:val="center"/>
            <w:hideMark/>
          </w:tcPr>
          <w:p w14:paraId="63CEED62"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Estadísticas Vitales. Divorcios </w:t>
            </w:r>
          </w:p>
        </w:tc>
        <w:tc>
          <w:tcPr>
            <w:tcW w:w="1336" w:type="dxa"/>
            <w:shd w:val="clear" w:color="auto" w:fill="FFFFFF" w:themeFill="background1"/>
            <w:tcMar>
              <w:top w:w="72" w:type="dxa"/>
              <w:left w:w="144" w:type="dxa"/>
              <w:bottom w:w="72" w:type="dxa"/>
              <w:right w:w="144" w:type="dxa"/>
            </w:tcMar>
            <w:vAlign w:val="center"/>
          </w:tcPr>
          <w:p w14:paraId="1475ADE8"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019D66F1"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0E82CDDF"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FFFFFF" w:themeFill="background1"/>
            <w:vAlign w:val="center"/>
          </w:tcPr>
          <w:p w14:paraId="4B209ED5"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FFFFFF" w:themeFill="background1"/>
            <w:vAlign w:val="center"/>
          </w:tcPr>
          <w:p w14:paraId="3D7A26E9"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BF560E" w:rsidRPr="00296E53" w14:paraId="26626F31" w14:textId="77777777" w:rsidTr="00E705F7">
        <w:trPr>
          <w:trHeight w:val="20"/>
        </w:trPr>
        <w:tc>
          <w:tcPr>
            <w:tcW w:w="991" w:type="dxa"/>
            <w:shd w:val="clear" w:color="auto" w:fill="E1F4FF"/>
            <w:vAlign w:val="center"/>
          </w:tcPr>
          <w:p w14:paraId="5E9E9B31"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5594" w:type="dxa"/>
            <w:shd w:val="clear" w:color="auto" w:fill="E1F4FF"/>
            <w:tcMar>
              <w:top w:w="72" w:type="dxa"/>
              <w:left w:w="144" w:type="dxa"/>
              <w:bottom w:w="72" w:type="dxa"/>
              <w:right w:w="144" w:type="dxa"/>
            </w:tcMar>
            <w:vAlign w:val="center"/>
            <w:hideMark/>
          </w:tcPr>
          <w:p w14:paraId="05B49B18"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Estadísticas de Salud en Establecimientos Particulares</w:t>
            </w:r>
          </w:p>
        </w:tc>
        <w:tc>
          <w:tcPr>
            <w:tcW w:w="1336" w:type="dxa"/>
            <w:shd w:val="clear" w:color="auto" w:fill="E1F4FF"/>
            <w:tcMar>
              <w:top w:w="72" w:type="dxa"/>
              <w:left w:w="144" w:type="dxa"/>
              <w:bottom w:w="72" w:type="dxa"/>
              <w:right w:w="144" w:type="dxa"/>
            </w:tcMar>
            <w:vAlign w:val="center"/>
          </w:tcPr>
          <w:p w14:paraId="7CAE9798"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E1F4FF"/>
            <w:vAlign w:val="center"/>
          </w:tcPr>
          <w:p w14:paraId="50FAA50B"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E1F4FF"/>
            <w:vAlign w:val="center"/>
          </w:tcPr>
          <w:p w14:paraId="3A9A7688"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E1F4FF"/>
            <w:vAlign w:val="center"/>
          </w:tcPr>
          <w:p w14:paraId="52C20996"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E1F4FF"/>
            <w:vAlign w:val="center"/>
          </w:tcPr>
          <w:p w14:paraId="78F69296"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BF560E" w:rsidRPr="00296E53" w14:paraId="11B88823" w14:textId="77777777" w:rsidTr="00E705F7">
        <w:trPr>
          <w:trHeight w:val="20"/>
        </w:trPr>
        <w:tc>
          <w:tcPr>
            <w:tcW w:w="991" w:type="dxa"/>
            <w:shd w:val="clear" w:color="auto" w:fill="E1F4FF"/>
            <w:vAlign w:val="center"/>
          </w:tcPr>
          <w:p w14:paraId="29507774" w14:textId="77777777" w:rsidR="00121DC3" w:rsidRPr="00296E53" w:rsidRDefault="00121DC3"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DGES</w:t>
            </w:r>
          </w:p>
        </w:tc>
        <w:tc>
          <w:tcPr>
            <w:tcW w:w="5594" w:type="dxa"/>
            <w:shd w:val="clear" w:color="auto" w:fill="E1F4FF"/>
            <w:tcMar>
              <w:top w:w="72" w:type="dxa"/>
              <w:left w:w="144" w:type="dxa"/>
              <w:bottom w:w="72" w:type="dxa"/>
              <w:right w:w="144" w:type="dxa"/>
            </w:tcMar>
            <w:vAlign w:val="center"/>
          </w:tcPr>
          <w:p w14:paraId="0F037004" w14:textId="77777777" w:rsidR="00121DC3" w:rsidRPr="00296E53" w:rsidRDefault="00121DC3" w:rsidP="00F91D0B">
            <w:pPr>
              <w:spacing w:after="0" w:line="240" w:lineRule="auto"/>
              <w:rPr>
                <w:rFonts w:ascii="Century Gothic" w:hAnsi="Century Gothic"/>
                <w:color w:val="000000"/>
                <w:sz w:val="17"/>
                <w:szCs w:val="17"/>
              </w:rPr>
            </w:pPr>
            <w:r w:rsidRPr="00296E53">
              <w:rPr>
                <w:rFonts w:ascii="Century Gothic" w:hAnsi="Century Gothic"/>
                <w:color w:val="000000"/>
                <w:sz w:val="17"/>
                <w:szCs w:val="17"/>
              </w:rPr>
              <w:t xml:space="preserve">Estadística de museos </w:t>
            </w:r>
          </w:p>
        </w:tc>
        <w:tc>
          <w:tcPr>
            <w:tcW w:w="1336" w:type="dxa"/>
            <w:shd w:val="clear" w:color="auto" w:fill="E1F4FF"/>
            <w:tcMar>
              <w:top w:w="72" w:type="dxa"/>
              <w:left w:w="144" w:type="dxa"/>
              <w:bottom w:w="72" w:type="dxa"/>
              <w:right w:w="144" w:type="dxa"/>
            </w:tcMar>
            <w:vAlign w:val="center"/>
          </w:tcPr>
          <w:p w14:paraId="11ECF8E3" w14:textId="77777777" w:rsidR="00121DC3" w:rsidRPr="00296E53" w:rsidRDefault="00121DC3"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Anual</w:t>
            </w:r>
          </w:p>
        </w:tc>
        <w:tc>
          <w:tcPr>
            <w:tcW w:w="1526" w:type="dxa"/>
            <w:shd w:val="clear" w:color="auto" w:fill="E1F4FF"/>
            <w:vAlign w:val="center"/>
          </w:tcPr>
          <w:p w14:paraId="4B14CF1E" w14:textId="77777777" w:rsidR="00121DC3" w:rsidRPr="00296E53" w:rsidRDefault="00121DC3" w:rsidP="00F91D0B">
            <w:pPr>
              <w:spacing w:after="0" w:line="240" w:lineRule="auto"/>
              <w:ind w:left="1"/>
              <w:jc w:val="center"/>
              <w:rPr>
                <w:rFonts w:ascii="Century Gothic" w:hAnsi="Century Gothic"/>
                <w:color w:val="000000"/>
                <w:sz w:val="17"/>
                <w:szCs w:val="17"/>
              </w:rPr>
            </w:pPr>
          </w:p>
        </w:tc>
        <w:tc>
          <w:tcPr>
            <w:tcW w:w="1531" w:type="dxa"/>
            <w:shd w:val="clear" w:color="auto" w:fill="E1F4FF"/>
            <w:vAlign w:val="center"/>
          </w:tcPr>
          <w:p w14:paraId="785A83A4" w14:textId="77777777" w:rsidR="00121DC3" w:rsidRPr="00296E53" w:rsidRDefault="00121DC3" w:rsidP="00F91D0B">
            <w:pPr>
              <w:spacing w:after="0" w:line="240" w:lineRule="auto"/>
              <w:ind w:left="66"/>
              <w:jc w:val="center"/>
              <w:rPr>
                <w:rFonts w:ascii="Century Gothic" w:hAnsi="Century Gothic"/>
                <w:color w:val="000000"/>
                <w:sz w:val="17"/>
                <w:szCs w:val="17"/>
              </w:rPr>
            </w:pPr>
          </w:p>
        </w:tc>
        <w:tc>
          <w:tcPr>
            <w:tcW w:w="1530" w:type="dxa"/>
            <w:shd w:val="clear" w:color="auto" w:fill="E1F4FF"/>
            <w:vAlign w:val="center"/>
          </w:tcPr>
          <w:p w14:paraId="4379314D" w14:textId="77777777" w:rsidR="00121DC3" w:rsidRPr="00296E53" w:rsidRDefault="00563857"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E1F4FF"/>
            <w:vAlign w:val="center"/>
          </w:tcPr>
          <w:p w14:paraId="1B65213B" w14:textId="77777777" w:rsidR="00121DC3" w:rsidRPr="00296E53" w:rsidRDefault="00563857"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BF560E" w:rsidRPr="00296E53" w14:paraId="05DC875B" w14:textId="77777777" w:rsidTr="00E705F7">
        <w:trPr>
          <w:trHeight w:val="20"/>
        </w:trPr>
        <w:tc>
          <w:tcPr>
            <w:tcW w:w="991" w:type="dxa"/>
            <w:shd w:val="clear" w:color="auto" w:fill="E1F4FF"/>
            <w:vAlign w:val="center"/>
          </w:tcPr>
          <w:p w14:paraId="6F4B66ED" w14:textId="77777777" w:rsidR="00121DC3" w:rsidRPr="00296E53" w:rsidRDefault="00121DC3"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DGES</w:t>
            </w:r>
          </w:p>
        </w:tc>
        <w:tc>
          <w:tcPr>
            <w:tcW w:w="5594" w:type="dxa"/>
            <w:shd w:val="clear" w:color="auto" w:fill="E1F4FF"/>
            <w:tcMar>
              <w:top w:w="72" w:type="dxa"/>
              <w:left w:w="144" w:type="dxa"/>
              <w:bottom w:w="72" w:type="dxa"/>
              <w:right w:w="144" w:type="dxa"/>
            </w:tcMar>
            <w:vAlign w:val="center"/>
          </w:tcPr>
          <w:p w14:paraId="3AB8857D" w14:textId="3005CAFC" w:rsidR="00121DC3" w:rsidRPr="00296E53" w:rsidRDefault="00121DC3" w:rsidP="00915E45">
            <w:pPr>
              <w:spacing w:after="0" w:line="240" w:lineRule="auto"/>
              <w:rPr>
                <w:rFonts w:ascii="Century Gothic" w:hAnsi="Century Gothic"/>
                <w:color w:val="000000"/>
                <w:sz w:val="17"/>
                <w:szCs w:val="17"/>
              </w:rPr>
            </w:pPr>
            <w:r w:rsidRPr="00296E53">
              <w:rPr>
                <w:rFonts w:ascii="Century Gothic" w:hAnsi="Century Gothic"/>
                <w:color w:val="000000"/>
                <w:sz w:val="17"/>
                <w:szCs w:val="17"/>
              </w:rPr>
              <w:t>Estad</w:t>
            </w:r>
            <w:r w:rsidR="00915E45" w:rsidRPr="00296E53">
              <w:rPr>
                <w:rFonts w:ascii="Century Gothic" w:hAnsi="Century Gothic"/>
                <w:color w:val="000000"/>
                <w:sz w:val="17"/>
                <w:szCs w:val="17"/>
              </w:rPr>
              <w:t>í</w:t>
            </w:r>
            <w:r w:rsidRPr="00296E53">
              <w:rPr>
                <w:rFonts w:ascii="Century Gothic" w:hAnsi="Century Gothic"/>
                <w:color w:val="000000"/>
                <w:sz w:val="17"/>
                <w:szCs w:val="17"/>
              </w:rPr>
              <w:t>sticas de relaciones laborales de jurisdicción local 2019</w:t>
            </w:r>
          </w:p>
        </w:tc>
        <w:tc>
          <w:tcPr>
            <w:tcW w:w="1336" w:type="dxa"/>
            <w:shd w:val="clear" w:color="auto" w:fill="E1F4FF"/>
            <w:tcMar>
              <w:top w:w="72" w:type="dxa"/>
              <w:left w:w="144" w:type="dxa"/>
              <w:bottom w:w="72" w:type="dxa"/>
              <w:right w:w="144" w:type="dxa"/>
            </w:tcMar>
            <w:vAlign w:val="center"/>
          </w:tcPr>
          <w:p w14:paraId="53E5DBC2" w14:textId="77777777" w:rsidR="00121DC3" w:rsidRPr="00296E53" w:rsidRDefault="00121DC3"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Anual</w:t>
            </w:r>
          </w:p>
        </w:tc>
        <w:tc>
          <w:tcPr>
            <w:tcW w:w="1526" w:type="dxa"/>
            <w:shd w:val="clear" w:color="auto" w:fill="E1F4FF"/>
            <w:vAlign w:val="center"/>
          </w:tcPr>
          <w:p w14:paraId="342C8907" w14:textId="77777777" w:rsidR="00121DC3" w:rsidRPr="00296E53" w:rsidRDefault="00121DC3" w:rsidP="00F91D0B">
            <w:pPr>
              <w:spacing w:after="0" w:line="240" w:lineRule="auto"/>
              <w:ind w:left="1"/>
              <w:jc w:val="center"/>
              <w:rPr>
                <w:rFonts w:ascii="Century Gothic" w:hAnsi="Century Gothic"/>
                <w:color w:val="000000"/>
                <w:sz w:val="17"/>
                <w:szCs w:val="17"/>
              </w:rPr>
            </w:pPr>
          </w:p>
        </w:tc>
        <w:tc>
          <w:tcPr>
            <w:tcW w:w="1531" w:type="dxa"/>
            <w:shd w:val="clear" w:color="auto" w:fill="E1F4FF"/>
            <w:vAlign w:val="center"/>
          </w:tcPr>
          <w:p w14:paraId="2B91AC6F" w14:textId="77777777" w:rsidR="00121DC3" w:rsidRPr="00296E53" w:rsidRDefault="00121DC3" w:rsidP="00F91D0B">
            <w:pPr>
              <w:spacing w:after="0" w:line="240" w:lineRule="auto"/>
              <w:ind w:left="66"/>
              <w:jc w:val="center"/>
              <w:rPr>
                <w:rFonts w:ascii="Century Gothic" w:hAnsi="Century Gothic"/>
                <w:color w:val="000000"/>
                <w:sz w:val="17"/>
                <w:szCs w:val="17"/>
              </w:rPr>
            </w:pPr>
          </w:p>
        </w:tc>
        <w:tc>
          <w:tcPr>
            <w:tcW w:w="1530" w:type="dxa"/>
            <w:shd w:val="clear" w:color="auto" w:fill="E1F4FF"/>
            <w:vAlign w:val="center"/>
          </w:tcPr>
          <w:p w14:paraId="0E90DE77"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E1F4FF"/>
            <w:vAlign w:val="center"/>
          </w:tcPr>
          <w:p w14:paraId="66B34149"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121DC3" w:rsidRPr="00296E53" w14:paraId="3C31FD07" w14:textId="77777777" w:rsidTr="00E705F7">
        <w:trPr>
          <w:trHeight w:val="20"/>
        </w:trPr>
        <w:tc>
          <w:tcPr>
            <w:tcW w:w="991" w:type="dxa"/>
            <w:shd w:val="clear" w:color="auto" w:fill="FFFFFF" w:themeFill="background1"/>
            <w:vAlign w:val="center"/>
          </w:tcPr>
          <w:p w14:paraId="78416EDE"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DGEGSPJ</w:t>
            </w:r>
          </w:p>
        </w:tc>
        <w:tc>
          <w:tcPr>
            <w:tcW w:w="5594" w:type="dxa"/>
            <w:shd w:val="clear" w:color="auto" w:fill="FFFFFF" w:themeFill="background1"/>
            <w:tcMar>
              <w:top w:w="72" w:type="dxa"/>
              <w:left w:w="144" w:type="dxa"/>
              <w:bottom w:w="72" w:type="dxa"/>
              <w:right w:w="144" w:type="dxa"/>
            </w:tcMar>
            <w:vAlign w:val="center"/>
            <w:hideMark/>
          </w:tcPr>
          <w:p w14:paraId="01473F6D"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Impartición de Justicia en Materia Penal </w:t>
            </w:r>
          </w:p>
        </w:tc>
        <w:tc>
          <w:tcPr>
            <w:tcW w:w="1336" w:type="dxa"/>
            <w:shd w:val="clear" w:color="auto" w:fill="FFFFFF" w:themeFill="background1"/>
            <w:tcMar>
              <w:top w:w="72" w:type="dxa"/>
              <w:left w:w="144" w:type="dxa"/>
              <w:bottom w:w="72" w:type="dxa"/>
              <w:right w:w="144" w:type="dxa"/>
            </w:tcMar>
            <w:vAlign w:val="center"/>
          </w:tcPr>
          <w:p w14:paraId="2558E6FB"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5EA1EF5E"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0568D9BB" w14:textId="77777777" w:rsidR="00121DC3" w:rsidRPr="00296E53" w:rsidRDefault="00121DC3"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FF0000"/>
                <w:sz w:val="17"/>
                <w:szCs w:val="17"/>
              </w:rPr>
              <w:t>-</w:t>
            </w:r>
          </w:p>
        </w:tc>
        <w:tc>
          <w:tcPr>
            <w:tcW w:w="1530" w:type="dxa"/>
            <w:shd w:val="clear" w:color="auto" w:fill="FFFFFF" w:themeFill="background1"/>
          </w:tcPr>
          <w:p w14:paraId="22759E5F" w14:textId="77777777" w:rsidR="00121DC3" w:rsidRPr="00296E53" w:rsidRDefault="00121DC3" w:rsidP="00F91D0B">
            <w:pPr>
              <w:spacing w:after="0" w:line="240" w:lineRule="auto"/>
              <w:ind w:left="66"/>
              <w:jc w:val="center"/>
              <w:rPr>
                <w:rFonts w:ascii="Century Gothic" w:hAnsi="Century Gothic"/>
                <w:color w:val="FF0000"/>
                <w:sz w:val="17"/>
                <w:szCs w:val="17"/>
              </w:rPr>
            </w:pPr>
          </w:p>
        </w:tc>
        <w:tc>
          <w:tcPr>
            <w:tcW w:w="1667" w:type="dxa"/>
            <w:shd w:val="clear" w:color="auto" w:fill="FFFFFF" w:themeFill="background1"/>
          </w:tcPr>
          <w:p w14:paraId="15496846" w14:textId="77777777" w:rsidR="00121DC3" w:rsidRPr="00296E53" w:rsidRDefault="00121DC3" w:rsidP="00F91D0B">
            <w:pPr>
              <w:spacing w:after="0" w:line="240" w:lineRule="auto"/>
              <w:ind w:left="66"/>
              <w:jc w:val="center"/>
              <w:rPr>
                <w:rFonts w:ascii="Century Gothic" w:hAnsi="Century Gothic"/>
                <w:color w:val="FF0000"/>
                <w:sz w:val="17"/>
                <w:szCs w:val="17"/>
              </w:rPr>
            </w:pPr>
          </w:p>
        </w:tc>
      </w:tr>
      <w:tr w:rsidR="00352725" w:rsidRPr="00296E53" w14:paraId="56BD2473" w14:textId="77777777" w:rsidTr="00E705F7">
        <w:trPr>
          <w:trHeight w:val="20"/>
        </w:trPr>
        <w:tc>
          <w:tcPr>
            <w:tcW w:w="991" w:type="dxa"/>
            <w:shd w:val="clear" w:color="auto" w:fill="FFFFFF" w:themeFill="background1"/>
            <w:vAlign w:val="center"/>
          </w:tcPr>
          <w:p w14:paraId="64C4C6D7" w14:textId="77777777" w:rsidR="00352725" w:rsidRPr="00296E53" w:rsidRDefault="00352725"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DGGMA</w:t>
            </w:r>
          </w:p>
        </w:tc>
        <w:tc>
          <w:tcPr>
            <w:tcW w:w="5594" w:type="dxa"/>
            <w:shd w:val="clear" w:color="auto" w:fill="FFFFFF" w:themeFill="background1"/>
            <w:tcMar>
              <w:top w:w="72" w:type="dxa"/>
              <w:left w:w="144" w:type="dxa"/>
              <w:bottom w:w="72" w:type="dxa"/>
              <w:right w:w="144" w:type="dxa"/>
            </w:tcMar>
            <w:vAlign w:val="center"/>
          </w:tcPr>
          <w:p w14:paraId="6C0D0304" w14:textId="77777777" w:rsidR="00352725" w:rsidRPr="00296E53" w:rsidRDefault="00352725" w:rsidP="00F91D0B">
            <w:pPr>
              <w:spacing w:after="0" w:line="240" w:lineRule="auto"/>
              <w:rPr>
                <w:rFonts w:ascii="Century Gothic" w:hAnsi="Century Gothic"/>
                <w:color w:val="000000"/>
                <w:sz w:val="17"/>
                <w:szCs w:val="17"/>
              </w:rPr>
            </w:pPr>
            <w:r w:rsidRPr="00296E53">
              <w:rPr>
                <w:rFonts w:ascii="Century Gothic" w:hAnsi="Century Gothic"/>
                <w:color w:val="000000"/>
                <w:sz w:val="17"/>
                <w:szCs w:val="17"/>
              </w:rPr>
              <w:t>Cédula de Operación Anual c</w:t>
            </w:r>
            <w:r w:rsidRPr="00296E53">
              <w:rPr>
                <w:rFonts w:ascii="Century Gothic" w:hAnsi="Century Gothic"/>
                <w:color w:val="000000"/>
                <w:sz w:val="17"/>
                <w:szCs w:val="17"/>
                <w:vertAlign w:val="superscript"/>
              </w:rPr>
              <w:t>/</w:t>
            </w:r>
          </w:p>
        </w:tc>
        <w:tc>
          <w:tcPr>
            <w:tcW w:w="1336" w:type="dxa"/>
            <w:shd w:val="clear" w:color="auto" w:fill="FFFFFF" w:themeFill="background1"/>
            <w:tcMar>
              <w:top w:w="72" w:type="dxa"/>
              <w:left w:w="144" w:type="dxa"/>
              <w:bottom w:w="72" w:type="dxa"/>
              <w:right w:w="144" w:type="dxa"/>
            </w:tcMar>
            <w:vAlign w:val="center"/>
          </w:tcPr>
          <w:p w14:paraId="4A399349" w14:textId="77777777" w:rsidR="00352725" w:rsidRPr="00296E53" w:rsidRDefault="00352725"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1DD4217A" w14:textId="77777777" w:rsidR="00352725" w:rsidRPr="00296E53" w:rsidRDefault="00352725" w:rsidP="00F91D0B">
            <w:pPr>
              <w:spacing w:after="0" w:line="240" w:lineRule="auto"/>
              <w:ind w:left="1"/>
              <w:jc w:val="center"/>
              <w:rPr>
                <w:rFonts w:ascii="Century Gothic" w:hAnsi="Century Gothic"/>
                <w:color w:val="000000"/>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6E150382" w14:textId="77777777" w:rsidR="00352725" w:rsidRPr="00296E53" w:rsidRDefault="00352725"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FF0000"/>
                <w:sz w:val="17"/>
                <w:szCs w:val="17"/>
              </w:rPr>
              <w:t>-</w:t>
            </w:r>
          </w:p>
        </w:tc>
        <w:tc>
          <w:tcPr>
            <w:tcW w:w="1530" w:type="dxa"/>
            <w:shd w:val="clear" w:color="auto" w:fill="FFFFFF" w:themeFill="background1"/>
            <w:vAlign w:val="center"/>
          </w:tcPr>
          <w:p w14:paraId="3734894A" w14:textId="77777777" w:rsidR="00352725" w:rsidRPr="00296E53" w:rsidRDefault="00352725"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000000"/>
                <w:sz w:val="17"/>
                <w:szCs w:val="17"/>
              </w:rPr>
              <w:t>1</w:t>
            </w:r>
          </w:p>
        </w:tc>
        <w:tc>
          <w:tcPr>
            <w:tcW w:w="1667" w:type="dxa"/>
            <w:shd w:val="clear" w:color="auto" w:fill="FFFFFF" w:themeFill="background1"/>
            <w:vAlign w:val="center"/>
          </w:tcPr>
          <w:p w14:paraId="7583A77C" w14:textId="77777777" w:rsidR="00352725" w:rsidRPr="00296E53" w:rsidRDefault="00352725"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FF0000"/>
                <w:sz w:val="17"/>
                <w:szCs w:val="17"/>
              </w:rPr>
              <w:t>-</w:t>
            </w:r>
          </w:p>
        </w:tc>
      </w:tr>
      <w:tr w:rsidR="00E705F7" w:rsidRPr="00296E53" w14:paraId="432D7AFF" w14:textId="77777777" w:rsidTr="00E705F7">
        <w:trPr>
          <w:trHeight w:val="400"/>
        </w:trPr>
        <w:tc>
          <w:tcPr>
            <w:tcW w:w="9447" w:type="dxa"/>
            <w:gridSpan w:val="4"/>
            <w:shd w:val="clear" w:color="auto" w:fill="1F3864" w:themeFill="accent5" w:themeFillShade="80"/>
            <w:vAlign w:val="center"/>
          </w:tcPr>
          <w:p w14:paraId="58A71BD1" w14:textId="3F45E3D7" w:rsidR="00E705F7" w:rsidRPr="00296E53" w:rsidRDefault="00E705F7" w:rsidP="00E705F7">
            <w:pPr>
              <w:spacing w:after="0" w:line="240" w:lineRule="auto"/>
              <w:ind w:left="1"/>
              <w:jc w:val="right"/>
              <w:rPr>
                <w:rFonts w:ascii="Century Gothic" w:hAnsi="Century Gothic"/>
                <w:color w:val="000000"/>
                <w:sz w:val="17"/>
                <w:szCs w:val="17"/>
              </w:rPr>
            </w:pPr>
            <w:r w:rsidRPr="00296E53">
              <w:rPr>
                <w:rFonts w:ascii="Century Gothic" w:hAnsi="Century Gothic"/>
                <w:b/>
                <w:color w:val="FFFFFF" w:themeColor="background1"/>
                <w:sz w:val="17"/>
                <w:szCs w:val="17"/>
              </w:rPr>
              <w:t>Porcentaje de entrega</w:t>
            </w:r>
          </w:p>
        </w:tc>
        <w:tc>
          <w:tcPr>
            <w:tcW w:w="1531" w:type="dxa"/>
            <w:shd w:val="clear" w:color="auto" w:fill="1F3864" w:themeFill="accent5" w:themeFillShade="80"/>
            <w:vAlign w:val="center"/>
          </w:tcPr>
          <w:p w14:paraId="1DE30A21" w14:textId="6FE1DF2E" w:rsidR="00E705F7" w:rsidRPr="00296E53" w:rsidRDefault="00E705F7" w:rsidP="00F91D0B">
            <w:pPr>
              <w:spacing w:after="0" w:line="240" w:lineRule="auto"/>
              <w:ind w:left="66"/>
              <w:jc w:val="center"/>
              <w:rPr>
                <w:rFonts w:ascii="Century Gothic" w:hAnsi="Century Gothic"/>
                <w:color w:val="FF0000"/>
                <w:sz w:val="17"/>
                <w:szCs w:val="17"/>
              </w:rPr>
            </w:pPr>
            <w:r w:rsidRPr="00296E53">
              <w:rPr>
                <w:rFonts w:ascii="Century Gothic" w:hAnsi="Century Gothic"/>
                <w:b/>
                <w:color w:val="FFFFFF" w:themeColor="background1"/>
                <w:sz w:val="17"/>
                <w:szCs w:val="17"/>
              </w:rPr>
              <w:t>90%</w:t>
            </w:r>
          </w:p>
        </w:tc>
        <w:tc>
          <w:tcPr>
            <w:tcW w:w="1530" w:type="dxa"/>
            <w:shd w:val="clear" w:color="auto" w:fill="1F3864" w:themeFill="accent5" w:themeFillShade="80"/>
            <w:vAlign w:val="center"/>
          </w:tcPr>
          <w:p w14:paraId="2A08485D" w14:textId="77777777" w:rsidR="00E705F7" w:rsidRPr="00296E53" w:rsidRDefault="00E705F7" w:rsidP="00F91D0B">
            <w:pPr>
              <w:spacing w:after="0" w:line="240" w:lineRule="auto"/>
              <w:ind w:left="66"/>
              <w:jc w:val="center"/>
              <w:rPr>
                <w:rFonts w:ascii="Century Gothic" w:hAnsi="Century Gothic"/>
                <w:color w:val="000000"/>
                <w:sz w:val="17"/>
                <w:szCs w:val="17"/>
              </w:rPr>
            </w:pPr>
          </w:p>
        </w:tc>
        <w:tc>
          <w:tcPr>
            <w:tcW w:w="1667" w:type="dxa"/>
            <w:shd w:val="clear" w:color="auto" w:fill="1F3864" w:themeFill="accent5" w:themeFillShade="80"/>
            <w:vAlign w:val="center"/>
          </w:tcPr>
          <w:p w14:paraId="1ACCF05A" w14:textId="244D150C" w:rsidR="00E705F7" w:rsidRPr="00296E53" w:rsidRDefault="0022003B" w:rsidP="00F91D0B">
            <w:pPr>
              <w:spacing w:after="0" w:line="240" w:lineRule="auto"/>
              <w:ind w:left="66"/>
              <w:jc w:val="center"/>
              <w:rPr>
                <w:rFonts w:ascii="Century Gothic" w:hAnsi="Century Gothic"/>
                <w:color w:val="FF0000"/>
                <w:sz w:val="17"/>
                <w:szCs w:val="17"/>
              </w:rPr>
            </w:pPr>
            <w:r>
              <w:rPr>
                <w:rFonts w:ascii="Century Gothic" w:hAnsi="Century Gothic"/>
                <w:b/>
                <w:color w:val="FFFFFF" w:themeColor="background1"/>
                <w:sz w:val="17"/>
                <w:szCs w:val="17"/>
              </w:rPr>
              <w:t>86</w:t>
            </w:r>
            <w:r w:rsidR="00E705F7" w:rsidRPr="00296E53">
              <w:rPr>
                <w:rFonts w:ascii="Century Gothic" w:hAnsi="Century Gothic"/>
                <w:b/>
                <w:color w:val="FFFFFF" w:themeColor="background1"/>
                <w:sz w:val="17"/>
                <w:szCs w:val="17"/>
              </w:rPr>
              <w:t>%</w:t>
            </w:r>
          </w:p>
        </w:tc>
      </w:tr>
    </w:tbl>
    <w:p w14:paraId="250C79F8" w14:textId="77777777" w:rsidR="00365D05" w:rsidRPr="00296E53" w:rsidRDefault="00365D05" w:rsidP="00365D05">
      <w:pPr>
        <w:spacing w:after="100"/>
        <w:jc w:val="both"/>
        <w:rPr>
          <w:rFonts w:ascii="Century Gothic" w:hAnsi="Century Gothic"/>
          <w:sz w:val="19"/>
          <w:szCs w:val="19"/>
        </w:rPr>
      </w:pPr>
    </w:p>
    <w:p w14:paraId="6AAFD531" w14:textId="3FA20EA3" w:rsidR="004A058F" w:rsidRPr="00296E53" w:rsidRDefault="004A058F" w:rsidP="004A058F">
      <w:pPr>
        <w:spacing w:after="100"/>
        <w:jc w:val="both"/>
        <w:rPr>
          <w:rFonts w:ascii="Century Gothic" w:hAnsi="Century Gothic"/>
          <w:sz w:val="19"/>
          <w:szCs w:val="19"/>
        </w:rPr>
      </w:pPr>
      <w:r w:rsidRPr="00296E53">
        <w:rPr>
          <w:rFonts w:ascii="Century Gothic" w:hAnsi="Century Gothic"/>
          <w:sz w:val="19"/>
          <w:szCs w:val="19"/>
        </w:rPr>
        <w:t xml:space="preserve">Con el fin de dar un panorama general de los resultados de los indicadores reportados en 2020, se presentan </w:t>
      </w:r>
      <w:r w:rsidR="00241C14" w:rsidRPr="00296E53">
        <w:rPr>
          <w:rFonts w:ascii="Century Gothic" w:hAnsi="Century Gothic"/>
          <w:sz w:val="19"/>
          <w:szCs w:val="19"/>
        </w:rPr>
        <w:t>en el cuadro A.5.7.</w:t>
      </w:r>
      <w:r w:rsidRPr="00296E53">
        <w:rPr>
          <w:rFonts w:ascii="Century Gothic" w:hAnsi="Century Gothic"/>
          <w:sz w:val="19"/>
          <w:szCs w:val="19"/>
        </w:rPr>
        <w:t xml:space="preserve"> con los resultados de los promedios de las tasas aprobadas en el Comité.</w:t>
      </w:r>
      <w:r w:rsidR="00600416" w:rsidRPr="00296E53">
        <w:rPr>
          <w:rFonts w:ascii="Century Gothic" w:hAnsi="Century Gothic"/>
          <w:sz w:val="19"/>
          <w:szCs w:val="19"/>
        </w:rPr>
        <w:t xml:space="preserve"> Como puede observarse, la tasa de no respuesta por unidad creció significativamente en la mayoría de </w:t>
      </w:r>
      <w:r w:rsidR="005B594E" w:rsidRPr="00296E53">
        <w:rPr>
          <w:rFonts w:ascii="Century Gothic" w:hAnsi="Century Gothic"/>
          <w:sz w:val="19"/>
          <w:szCs w:val="19"/>
        </w:rPr>
        <w:t>los programas</w:t>
      </w:r>
      <w:r w:rsidR="00600416" w:rsidRPr="00296E53">
        <w:rPr>
          <w:rFonts w:ascii="Century Gothic" w:hAnsi="Century Gothic"/>
          <w:sz w:val="19"/>
          <w:szCs w:val="19"/>
        </w:rPr>
        <w:t xml:space="preserve"> de información</w:t>
      </w:r>
      <w:r w:rsidR="00241C14" w:rsidRPr="00296E53">
        <w:rPr>
          <w:rFonts w:ascii="Century Gothic" w:hAnsi="Century Gothic"/>
          <w:sz w:val="19"/>
          <w:szCs w:val="19"/>
        </w:rPr>
        <w:t>, lo cual puede ser atribuido a</w:t>
      </w:r>
      <w:r w:rsidR="00AF2E4A" w:rsidRPr="00296E53">
        <w:rPr>
          <w:rFonts w:ascii="Century Gothic" w:hAnsi="Century Gothic"/>
          <w:sz w:val="19"/>
          <w:szCs w:val="19"/>
        </w:rPr>
        <w:t xml:space="preserve">l cierre de actividades de los proveedores de información por la crisis sanitaria. </w:t>
      </w:r>
      <w:r w:rsidR="00AF16CE" w:rsidRPr="00296E53">
        <w:rPr>
          <w:rFonts w:ascii="Century Gothic" w:hAnsi="Century Gothic"/>
          <w:sz w:val="19"/>
          <w:szCs w:val="19"/>
        </w:rPr>
        <w:t>Sin embargo, destacan los casos de la</w:t>
      </w:r>
      <w:r w:rsidR="004A69D7" w:rsidRPr="00296E53">
        <w:rPr>
          <w:rFonts w:ascii="Century Gothic" w:hAnsi="Century Gothic"/>
          <w:sz w:val="19"/>
          <w:szCs w:val="19"/>
        </w:rPr>
        <w:t>s</w:t>
      </w:r>
      <w:r w:rsidR="00AF16CE" w:rsidRPr="00296E53">
        <w:rPr>
          <w:rFonts w:ascii="Century Gothic" w:hAnsi="Century Gothic"/>
          <w:sz w:val="19"/>
          <w:szCs w:val="19"/>
        </w:rPr>
        <w:t xml:space="preserve"> </w:t>
      </w:r>
      <w:r w:rsidR="004A69D7" w:rsidRPr="00296E53">
        <w:rPr>
          <w:rFonts w:ascii="Century Gothic" w:hAnsi="Century Gothic"/>
          <w:sz w:val="19"/>
          <w:szCs w:val="19"/>
        </w:rPr>
        <w:t>e</w:t>
      </w:r>
      <w:r w:rsidR="00AF16CE" w:rsidRPr="00296E53">
        <w:rPr>
          <w:rFonts w:ascii="Century Gothic" w:hAnsi="Century Gothic"/>
          <w:sz w:val="19"/>
          <w:szCs w:val="19"/>
        </w:rPr>
        <w:t>stadística</w:t>
      </w:r>
      <w:r w:rsidR="004A69D7" w:rsidRPr="00296E53">
        <w:rPr>
          <w:rFonts w:ascii="Century Gothic" w:hAnsi="Century Gothic"/>
          <w:sz w:val="19"/>
          <w:szCs w:val="19"/>
        </w:rPr>
        <w:t>s</w:t>
      </w:r>
      <w:r w:rsidR="00AF16CE" w:rsidRPr="00296E53">
        <w:rPr>
          <w:rFonts w:ascii="Century Gothic" w:hAnsi="Century Gothic"/>
          <w:sz w:val="19"/>
          <w:szCs w:val="19"/>
        </w:rPr>
        <w:t xml:space="preserve"> de Finanzas Públicas Estatales y Municipales,</w:t>
      </w:r>
      <w:r w:rsidR="004A69D7" w:rsidRPr="00296E53">
        <w:rPr>
          <w:rFonts w:ascii="Century Gothic" w:hAnsi="Century Gothic"/>
          <w:sz w:val="19"/>
          <w:szCs w:val="19"/>
        </w:rPr>
        <w:t xml:space="preserve"> de</w:t>
      </w:r>
      <w:r w:rsidR="00AF16CE" w:rsidRPr="00296E53">
        <w:rPr>
          <w:rFonts w:ascii="Century Gothic" w:hAnsi="Century Gothic"/>
          <w:sz w:val="19"/>
          <w:szCs w:val="19"/>
        </w:rPr>
        <w:t xml:space="preserve"> Defunciones Registradas, </w:t>
      </w:r>
      <w:r w:rsidR="004A69D7" w:rsidRPr="00296E53">
        <w:rPr>
          <w:rFonts w:ascii="Century Gothic" w:hAnsi="Century Gothic"/>
          <w:sz w:val="19"/>
          <w:szCs w:val="19"/>
        </w:rPr>
        <w:t xml:space="preserve">de Matrimonio y de Salud en Establecimientos Particulares que disminuyeron sus tasas de no respuesta.  </w:t>
      </w:r>
    </w:p>
    <w:p w14:paraId="508BABBD" w14:textId="41DC1C85" w:rsidR="00CA64C3" w:rsidRPr="00296E53" w:rsidRDefault="000C1ADA" w:rsidP="000C1ADA">
      <w:pPr>
        <w:jc w:val="center"/>
        <w:rPr>
          <w:rFonts w:ascii="Century Gothic" w:hAnsi="Century Gothic"/>
          <w:b/>
          <w:sz w:val="19"/>
          <w:szCs w:val="19"/>
        </w:rPr>
      </w:pPr>
      <w:r w:rsidRPr="00296E53">
        <w:rPr>
          <w:rFonts w:ascii="Century Gothic" w:hAnsi="Century Gothic"/>
          <w:b/>
          <w:sz w:val="19"/>
          <w:szCs w:val="19"/>
        </w:rPr>
        <w:t>A.5.</w:t>
      </w:r>
      <w:r w:rsidR="00925879" w:rsidRPr="00296E53">
        <w:rPr>
          <w:rFonts w:ascii="Century Gothic" w:hAnsi="Century Gothic"/>
          <w:b/>
          <w:sz w:val="19"/>
          <w:szCs w:val="19"/>
        </w:rPr>
        <w:t>5</w:t>
      </w:r>
      <w:r w:rsidRPr="00296E53">
        <w:rPr>
          <w:rFonts w:ascii="Century Gothic" w:hAnsi="Century Gothic"/>
          <w:b/>
          <w:sz w:val="19"/>
          <w:szCs w:val="19"/>
        </w:rPr>
        <w:t xml:space="preserve"> Comparativo 2019-2020 del Promedio de las tasas de </w:t>
      </w:r>
      <w:proofErr w:type="spellStart"/>
      <w:r w:rsidRPr="00296E53">
        <w:rPr>
          <w:rFonts w:ascii="Century Gothic" w:hAnsi="Century Gothic"/>
          <w:b/>
          <w:sz w:val="19"/>
          <w:szCs w:val="19"/>
        </w:rPr>
        <w:t>sobrecobertura</w:t>
      </w:r>
      <w:proofErr w:type="spellEnd"/>
      <w:r w:rsidRPr="00296E53">
        <w:rPr>
          <w:rFonts w:ascii="Century Gothic" w:hAnsi="Century Gothic"/>
          <w:b/>
          <w:sz w:val="19"/>
          <w:szCs w:val="19"/>
        </w:rPr>
        <w:t xml:space="preserve"> y de no respuesta por unidad reportadas</w:t>
      </w:r>
    </w:p>
    <w:tbl>
      <w:tblPr>
        <w:tblW w:w="13619"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41"/>
        <w:gridCol w:w="6389"/>
        <w:gridCol w:w="851"/>
        <w:gridCol w:w="941"/>
        <w:gridCol w:w="940"/>
        <w:gridCol w:w="10"/>
        <w:gridCol w:w="931"/>
        <w:gridCol w:w="1358"/>
        <w:gridCol w:w="1358"/>
      </w:tblGrid>
      <w:tr w:rsidR="00CA64C3" w:rsidRPr="00296E53" w14:paraId="78BC87C7" w14:textId="77777777" w:rsidTr="005F4642">
        <w:trPr>
          <w:trHeight w:val="20"/>
          <w:tblHeader/>
          <w:jc w:val="center"/>
        </w:trPr>
        <w:tc>
          <w:tcPr>
            <w:tcW w:w="841" w:type="dxa"/>
            <w:vMerge w:val="restart"/>
            <w:shd w:val="clear" w:color="auto" w:fill="D9D9D9" w:themeFill="background1" w:themeFillShade="D9"/>
            <w:noWrap/>
            <w:vAlign w:val="center"/>
            <w:hideMark/>
          </w:tcPr>
          <w:p w14:paraId="4C214515" w14:textId="77777777" w:rsidR="00CA64C3" w:rsidRPr="00296E53" w:rsidRDefault="00CA64C3" w:rsidP="005F4642">
            <w:pPr>
              <w:jc w:val="center"/>
              <w:rPr>
                <w:rFonts w:ascii="Century Gothic" w:hAnsi="Century Gothic"/>
                <w:b/>
                <w:sz w:val="16"/>
                <w:szCs w:val="16"/>
              </w:rPr>
            </w:pPr>
            <w:r w:rsidRPr="00296E53">
              <w:rPr>
                <w:rFonts w:ascii="Century Gothic" w:hAnsi="Century Gothic" w:cs="Calibri"/>
                <w:b/>
                <w:color w:val="000000"/>
                <w:sz w:val="16"/>
                <w:szCs w:val="16"/>
              </w:rPr>
              <w:t>UA</w:t>
            </w:r>
          </w:p>
        </w:tc>
        <w:tc>
          <w:tcPr>
            <w:tcW w:w="6389" w:type="dxa"/>
            <w:vMerge w:val="restart"/>
            <w:shd w:val="clear" w:color="auto" w:fill="D9D9D9" w:themeFill="background1" w:themeFillShade="D9"/>
            <w:vAlign w:val="center"/>
            <w:hideMark/>
          </w:tcPr>
          <w:p w14:paraId="3364266C" w14:textId="77777777" w:rsidR="00CA64C3" w:rsidRPr="00296E53" w:rsidRDefault="00CA64C3" w:rsidP="005F4642">
            <w:pPr>
              <w:jc w:val="center"/>
              <w:rPr>
                <w:rFonts w:ascii="Century Gothic" w:hAnsi="Century Gothic"/>
                <w:b/>
                <w:sz w:val="16"/>
                <w:szCs w:val="16"/>
              </w:rPr>
            </w:pPr>
            <w:r w:rsidRPr="00296E53">
              <w:rPr>
                <w:rFonts w:ascii="Century Gothic" w:hAnsi="Century Gothic" w:cs="Calibri"/>
                <w:b/>
                <w:bCs/>
                <w:sz w:val="16"/>
                <w:szCs w:val="16"/>
              </w:rPr>
              <w:t>Programa</w:t>
            </w:r>
          </w:p>
        </w:tc>
        <w:tc>
          <w:tcPr>
            <w:tcW w:w="1792" w:type="dxa"/>
            <w:gridSpan w:val="2"/>
            <w:shd w:val="clear" w:color="auto" w:fill="D9D9D9" w:themeFill="background1" w:themeFillShade="D9"/>
            <w:vAlign w:val="center"/>
            <w:hideMark/>
          </w:tcPr>
          <w:p w14:paraId="2422D760" w14:textId="77777777" w:rsidR="00CA64C3" w:rsidRPr="00296E53" w:rsidRDefault="00CA64C3" w:rsidP="005F4642">
            <w:pPr>
              <w:spacing w:before="60" w:after="60"/>
              <w:jc w:val="center"/>
              <w:rPr>
                <w:rFonts w:ascii="Century Gothic" w:hAnsi="Century Gothic"/>
                <w:b/>
                <w:sz w:val="16"/>
                <w:szCs w:val="16"/>
              </w:rPr>
            </w:pPr>
            <w:r w:rsidRPr="00296E53">
              <w:rPr>
                <w:rFonts w:ascii="Century Gothic" w:hAnsi="Century Gothic" w:cs="Calibri"/>
                <w:b/>
                <w:bCs/>
                <w:sz w:val="16"/>
                <w:szCs w:val="16"/>
              </w:rPr>
              <w:t>Número de casos totales</w:t>
            </w:r>
          </w:p>
        </w:tc>
        <w:tc>
          <w:tcPr>
            <w:tcW w:w="1881" w:type="dxa"/>
            <w:gridSpan w:val="3"/>
            <w:shd w:val="clear" w:color="auto" w:fill="C5EAFF"/>
            <w:vAlign w:val="center"/>
            <w:hideMark/>
          </w:tcPr>
          <w:p w14:paraId="67AD450E" w14:textId="77777777" w:rsidR="00CA64C3" w:rsidRPr="00296E53" w:rsidRDefault="00CA64C3" w:rsidP="005F4642">
            <w:pPr>
              <w:spacing w:before="60" w:after="60"/>
              <w:jc w:val="center"/>
              <w:rPr>
                <w:rFonts w:ascii="Century Gothic" w:hAnsi="Century Gothic" w:cs="Calibri"/>
                <w:b/>
                <w:color w:val="000000"/>
                <w:sz w:val="16"/>
                <w:szCs w:val="16"/>
              </w:rPr>
            </w:pPr>
            <w:r w:rsidRPr="00296E53">
              <w:rPr>
                <w:rFonts w:ascii="Century Gothic" w:hAnsi="Century Gothic" w:cs="Calibri"/>
                <w:b/>
                <w:color w:val="000000"/>
                <w:sz w:val="16"/>
                <w:szCs w:val="16"/>
              </w:rPr>
              <w:t xml:space="preserve">Promedio de la tasa de </w:t>
            </w:r>
            <w:proofErr w:type="spellStart"/>
            <w:r w:rsidRPr="00296E53">
              <w:rPr>
                <w:rFonts w:ascii="Century Gothic" w:hAnsi="Century Gothic" w:cs="Calibri"/>
                <w:b/>
                <w:color w:val="000000"/>
                <w:sz w:val="16"/>
                <w:szCs w:val="16"/>
              </w:rPr>
              <w:t>sobrecobertura</w:t>
            </w:r>
            <w:proofErr w:type="spellEnd"/>
            <w:r w:rsidRPr="00296E53">
              <w:rPr>
                <w:rFonts w:ascii="Century Gothic" w:hAnsi="Century Gothic" w:cs="Calibri"/>
                <w:b/>
                <w:color w:val="000000"/>
                <w:sz w:val="16"/>
                <w:szCs w:val="16"/>
              </w:rPr>
              <w:t xml:space="preserve"> (%)</w:t>
            </w:r>
          </w:p>
        </w:tc>
        <w:tc>
          <w:tcPr>
            <w:tcW w:w="2716" w:type="dxa"/>
            <w:gridSpan w:val="2"/>
            <w:shd w:val="clear" w:color="auto" w:fill="F7CAAC" w:themeFill="accent2" w:themeFillTint="66"/>
            <w:vAlign w:val="center"/>
            <w:hideMark/>
          </w:tcPr>
          <w:p w14:paraId="7D3F195A" w14:textId="47185D34" w:rsidR="00CA64C3" w:rsidRPr="00296E53" w:rsidRDefault="00CA64C3" w:rsidP="005F4642">
            <w:pPr>
              <w:spacing w:before="60" w:after="60"/>
              <w:jc w:val="center"/>
              <w:rPr>
                <w:rFonts w:ascii="Century Gothic" w:hAnsi="Century Gothic" w:cs="Calibri"/>
                <w:b/>
                <w:color w:val="000000"/>
                <w:sz w:val="16"/>
                <w:szCs w:val="16"/>
              </w:rPr>
            </w:pPr>
            <w:r w:rsidRPr="00296E53">
              <w:rPr>
                <w:rFonts w:ascii="Century Gothic" w:hAnsi="Century Gothic" w:cs="Calibri"/>
                <w:b/>
                <w:color w:val="000000"/>
                <w:sz w:val="16"/>
                <w:szCs w:val="16"/>
              </w:rPr>
              <w:t>Promedio de la tasa de no respuesta por unidad (%)</w:t>
            </w:r>
          </w:p>
        </w:tc>
      </w:tr>
      <w:tr w:rsidR="00CA64C3" w:rsidRPr="00296E53" w14:paraId="5D6FBB07" w14:textId="77777777" w:rsidTr="005F4642">
        <w:trPr>
          <w:trHeight w:val="20"/>
          <w:jc w:val="center"/>
        </w:trPr>
        <w:tc>
          <w:tcPr>
            <w:tcW w:w="841" w:type="dxa"/>
            <w:vMerge/>
            <w:shd w:val="clear" w:color="auto" w:fill="F2F2F2" w:themeFill="background1" w:themeFillShade="F2"/>
            <w:noWrap/>
            <w:vAlign w:val="center"/>
          </w:tcPr>
          <w:p w14:paraId="73B1E7AF" w14:textId="77777777" w:rsidR="00CA64C3" w:rsidRPr="00296E53" w:rsidRDefault="00CA64C3" w:rsidP="005F4642">
            <w:pPr>
              <w:jc w:val="center"/>
              <w:rPr>
                <w:rFonts w:ascii="Century Gothic" w:hAnsi="Century Gothic"/>
                <w:color w:val="000000"/>
                <w:sz w:val="16"/>
                <w:szCs w:val="16"/>
              </w:rPr>
            </w:pPr>
          </w:p>
        </w:tc>
        <w:tc>
          <w:tcPr>
            <w:tcW w:w="6389" w:type="dxa"/>
            <w:vMerge/>
            <w:shd w:val="clear" w:color="auto" w:fill="F2F2F2" w:themeFill="background1" w:themeFillShade="F2"/>
            <w:vAlign w:val="center"/>
          </w:tcPr>
          <w:p w14:paraId="0B12114C" w14:textId="77777777" w:rsidR="00CA64C3" w:rsidRPr="00296E53" w:rsidRDefault="00CA64C3" w:rsidP="005F4642">
            <w:pPr>
              <w:rPr>
                <w:rFonts w:ascii="Century Gothic" w:hAnsi="Century Gothic"/>
                <w:color w:val="000000"/>
                <w:sz w:val="16"/>
                <w:szCs w:val="16"/>
              </w:rPr>
            </w:pPr>
          </w:p>
        </w:tc>
        <w:tc>
          <w:tcPr>
            <w:tcW w:w="851" w:type="dxa"/>
            <w:shd w:val="clear" w:color="auto" w:fill="D9D9D9" w:themeFill="background1" w:themeFillShade="D9"/>
            <w:vAlign w:val="center"/>
          </w:tcPr>
          <w:p w14:paraId="4F2E59AA" w14:textId="77777777" w:rsidR="00CA64C3" w:rsidRPr="00296E53" w:rsidRDefault="00CA64C3" w:rsidP="005F4642">
            <w:pPr>
              <w:jc w:val="center"/>
              <w:rPr>
                <w:rFonts w:ascii="Century Gothic" w:hAnsi="Century Gothic" w:cs="Calibri"/>
                <w:b/>
                <w:bCs/>
                <w:color w:val="000000"/>
                <w:sz w:val="16"/>
                <w:szCs w:val="16"/>
              </w:rPr>
            </w:pPr>
            <w:r w:rsidRPr="00296E53">
              <w:rPr>
                <w:rFonts w:ascii="Century Gothic" w:hAnsi="Century Gothic" w:cs="Calibri"/>
                <w:b/>
                <w:bCs/>
                <w:color w:val="000000"/>
                <w:sz w:val="16"/>
                <w:szCs w:val="16"/>
              </w:rPr>
              <w:t>2019</w:t>
            </w:r>
          </w:p>
        </w:tc>
        <w:tc>
          <w:tcPr>
            <w:tcW w:w="941" w:type="dxa"/>
            <w:shd w:val="clear" w:color="auto" w:fill="D9D9D9" w:themeFill="background1" w:themeFillShade="D9"/>
            <w:vAlign w:val="center"/>
          </w:tcPr>
          <w:p w14:paraId="4032AC6B" w14:textId="77777777" w:rsidR="00CA64C3" w:rsidRPr="00296E53" w:rsidRDefault="00CA64C3" w:rsidP="005F4642">
            <w:pPr>
              <w:jc w:val="center"/>
              <w:rPr>
                <w:rFonts w:ascii="Century Gothic" w:hAnsi="Century Gothic" w:cs="Calibri"/>
                <w:b/>
                <w:bCs/>
                <w:color w:val="000000"/>
                <w:sz w:val="16"/>
                <w:szCs w:val="16"/>
              </w:rPr>
            </w:pPr>
            <w:r w:rsidRPr="00296E53">
              <w:rPr>
                <w:rFonts w:ascii="Century Gothic" w:hAnsi="Century Gothic" w:cs="Calibri"/>
                <w:b/>
                <w:bCs/>
                <w:color w:val="000000"/>
                <w:sz w:val="16"/>
                <w:szCs w:val="16"/>
              </w:rPr>
              <w:t>2020</w:t>
            </w:r>
          </w:p>
        </w:tc>
        <w:tc>
          <w:tcPr>
            <w:tcW w:w="950" w:type="dxa"/>
            <w:gridSpan w:val="2"/>
            <w:shd w:val="clear" w:color="auto" w:fill="C5EAFF"/>
            <w:vAlign w:val="center"/>
          </w:tcPr>
          <w:p w14:paraId="730D60A8" w14:textId="15C61D85" w:rsidR="00CA64C3" w:rsidRPr="00296E53" w:rsidRDefault="00CA64C3" w:rsidP="005F4642">
            <w:pPr>
              <w:jc w:val="center"/>
              <w:rPr>
                <w:rFonts w:ascii="Century Gothic" w:hAnsi="Century Gothic" w:cs="Calibri"/>
                <w:b/>
                <w:bCs/>
                <w:color w:val="000000"/>
                <w:sz w:val="16"/>
                <w:szCs w:val="16"/>
              </w:rPr>
            </w:pPr>
            <w:r w:rsidRPr="00296E53">
              <w:rPr>
                <w:rFonts w:ascii="Century Gothic" w:hAnsi="Century Gothic" w:cs="Calibri"/>
                <w:b/>
                <w:bCs/>
                <w:color w:val="000000"/>
                <w:sz w:val="16"/>
                <w:szCs w:val="16"/>
              </w:rPr>
              <w:t>2019</w:t>
            </w:r>
            <w:r w:rsidR="00D555B7" w:rsidRPr="00296E53">
              <w:rPr>
                <w:rFonts w:ascii="Century Gothic" w:hAnsi="Century Gothic" w:cs="Calibri"/>
                <w:b/>
                <w:bCs/>
                <w:color w:val="000000"/>
                <w:sz w:val="16"/>
                <w:szCs w:val="16"/>
              </w:rPr>
              <w:t>*</w:t>
            </w:r>
          </w:p>
        </w:tc>
        <w:tc>
          <w:tcPr>
            <w:tcW w:w="931" w:type="dxa"/>
            <w:shd w:val="clear" w:color="auto" w:fill="C5EAFF"/>
            <w:vAlign w:val="center"/>
          </w:tcPr>
          <w:p w14:paraId="6341FA6D" w14:textId="08E1BDA8" w:rsidR="00CA64C3" w:rsidRPr="00296E53" w:rsidRDefault="00CA64C3" w:rsidP="005F4642">
            <w:pPr>
              <w:jc w:val="center"/>
              <w:rPr>
                <w:rFonts w:ascii="Century Gothic" w:hAnsi="Century Gothic" w:cs="Calibri"/>
                <w:b/>
                <w:bCs/>
                <w:color w:val="000000"/>
                <w:sz w:val="16"/>
                <w:szCs w:val="16"/>
              </w:rPr>
            </w:pPr>
            <w:r w:rsidRPr="00296E53">
              <w:rPr>
                <w:rFonts w:ascii="Century Gothic" w:hAnsi="Century Gothic" w:cs="Calibri"/>
                <w:b/>
                <w:bCs/>
                <w:color w:val="000000"/>
                <w:sz w:val="16"/>
                <w:szCs w:val="16"/>
              </w:rPr>
              <w:t>202</w:t>
            </w:r>
            <w:r w:rsidR="00BC6AFA" w:rsidRPr="00296E53">
              <w:rPr>
                <w:rFonts w:ascii="Century Gothic" w:hAnsi="Century Gothic" w:cs="Calibri"/>
                <w:b/>
                <w:bCs/>
                <w:color w:val="000000"/>
                <w:sz w:val="16"/>
                <w:szCs w:val="16"/>
              </w:rPr>
              <w:t>0**</w:t>
            </w:r>
          </w:p>
        </w:tc>
        <w:tc>
          <w:tcPr>
            <w:tcW w:w="1358" w:type="dxa"/>
            <w:shd w:val="clear" w:color="auto" w:fill="F7CAAC" w:themeFill="accent2" w:themeFillTint="66"/>
            <w:vAlign w:val="center"/>
          </w:tcPr>
          <w:p w14:paraId="753108ED" w14:textId="348C51FE" w:rsidR="00CA64C3" w:rsidRPr="00296E53" w:rsidRDefault="00CA64C3" w:rsidP="005F4642">
            <w:pPr>
              <w:jc w:val="center"/>
              <w:rPr>
                <w:rFonts w:ascii="Century Gothic" w:hAnsi="Century Gothic" w:cs="Calibri"/>
                <w:b/>
                <w:bCs/>
                <w:color w:val="000000"/>
                <w:sz w:val="16"/>
                <w:szCs w:val="16"/>
              </w:rPr>
            </w:pPr>
            <w:r w:rsidRPr="00296E53">
              <w:rPr>
                <w:rFonts w:ascii="Century Gothic" w:hAnsi="Century Gothic" w:cs="Calibri"/>
                <w:b/>
                <w:bCs/>
                <w:color w:val="000000"/>
                <w:sz w:val="16"/>
                <w:szCs w:val="16"/>
              </w:rPr>
              <w:t>2019</w:t>
            </w:r>
            <w:r w:rsidR="00D555B7" w:rsidRPr="00296E53">
              <w:rPr>
                <w:rFonts w:ascii="Century Gothic" w:hAnsi="Century Gothic" w:cs="Calibri"/>
                <w:b/>
                <w:bCs/>
                <w:color w:val="000000"/>
                <w:sz w:val="16"/>
                <w:szCs w:val="16"/>
              </w:rPr>
              <w:t>*</w:t>
            </w:r>
          </w:p>
        </w:tc>
        <w:tc>
          <w:tcPr>
            <w:tcW w:w="1358" w:type="dxa"/>
            <w:shd w:val="clear" w:color="auto" w:fill="F7CAAC" w:themeFill="accent2" w:themeFillTint="66"/>
            <w:vAlign w:val="center"/>
          </w:tcPr>
          <w:p w14:paraId="75306A6D" w14:textId="39DFEDC1" w:rsidR="00CA64C3" w:rsidRPr="00296E53" w:rsidRDefault="00CA64C3" w:rsidP="005F4642">
            <w:pPr>
              <w:jc w:val="center"/>
              <w:rPr>
                <w:rFonts w:ascii="Century Gothic" w:hAnsi="Century Gothic" w:cs="Calibri"/>
                <w:b/>
                <w:bCs/>
                <w:color w:val="000000"/>
                <w:sz w:val="16"/>
                <w:szCs w:val="16"/>
              </w:rPr>
            </w:pPr>
            <w:r w:rsidRPr="00296E53">
              <w:rPr>
                <w:rFonts w:ascii="Century Gothic" w:hAnsi="Century Gothic" w:cs="Calibri"/>
                <w:b/>
                <w:bCs/>
                <w:color w:val="000000"/>
                <w:sz w:val="16"/>
                <w:szCs w:val="16"/>
              </w:rPr>
              <w:t>2020</w:t>
            </w:r>
            <w:r w:rsidR="00D103B2" w:rsidRPr="00296E53">
              <w:rPr>
                <w:rFonts w:ascii="Century Gothic" w:hAnsi="Century Gothic" w:cs="Calibri"/>
                <w:b/>
                <w:bCs/>
                <w:color w:val="000000"/>
                <w:sz w:val="16"/>
                <w:szCs w:val="16"/>
              </w:rPr>
              <w:t>**</w:t>
            </w:r>
          </w:p>
        </w:tc>
      </w:tr>
      <w:tr w:rsidR="00CA64C3" w:rsidRPr="00296E53" w14:paraId="49159B03" w14:textId="77777777" w:rsidTr="005F4642">
        <w:trPr>
          <w:trHeight w:val="20"/>
          <w:jc w:val="center"/>
        </w:trPr>
        <w:tc>
          <w:tcPr>
            <w:tcW w:w="841" w:type="dxa"/>
            <w:shd w:val="clear" w:color="auto" w:fill="F2F2F2" w:themeFill="background1" w:themeFillShade="F2"/>
            <w:noWrap/>
            <w:vAlign w:val="center"/>
            <w:hideMark/>
          </w:tcPr>
          <w:p w14:paraId="2266D6E2" w14:textId="77777777" w:rsidR="00CA64C3" w:rsidRPr="00296E53" w:rsidRDefault="00CA64C3" w:rsidP="005F4642">
            <w:pPr>
              <w:jc w:val="center"/>
              <w:rPr>
                <w:rFonts w:ascii="Century Gothic" w:hAnsi="Century Gothic"/>
                <w:color w:val="000000"/>
                <w:sz w:val="16"/>
                <w:szCs w:val="16"/>
              </w:rPr>
            </w:pPr>
            <w:r w:rsidRPr="00296E53">
              <w:rPr>
                <w:rFonts w:ascii="Century Gothic" w:hAnsi="Century Gothic"/>
                <w:color w:val="000000"/>
                <w:sz w:val="16"/>
                <w:szCs w:val="16"/>
              </w:rPr>
              <w:t>DGEE</w:t>
            </w:r>
          </w:p>
        </w:tc>
        <w:tc>
          <w:tcPr>
            <w:tcW w:w="6389" w:type="dxa"/>
            <w:shd w:val="clear" w:color="auto" w:fill="F2F2F2" w:themeFill="background1" w:themeFillShade="F2"/>
            <w:vAlign w:val="center"/>
            <w:hideMark/>
          </w:tcPr>
          <w:p w14:paraId="5E4E5FAF" w14:textId="77777777" w:rsidR="00CA64C3" w:rsidRPr="00296E53" w:rsidRDefault="00CA64C3" w:rsidP="005F4642">
            <w:pPr>
              <w:rPr>
                <w:rFonts w:ascii="Century Gothic" w:hAnsi="Century Gothic"/>
                <w:color w:val="000000"/>
                <w:sz w:val="16"/>
                <w:szCs w:val="16"/>
              </w:rPr>
            </w:pPr>
            <w:r w:rsidRPr="00296E53">
              <w:rPr>
                <w:rFonts w:ascii="Century Gothic" w:hAnsi="Century Gothic"/>
                <w:color w:val="000000"/>
                <w:sz w:val="16"/>
                <w:szCs w:val="16"/>
              </w:rPr>
              <w:t>Finanzas Públicas Estatales y Municipales</w:t>
            </w:r>
          </w:p>
        </w:tc>
        <w:tc>
          <w:tcPr>
            <w:tcW w:w="851" w:type="dxa"/>
            <w:shd w:val="clear" w:color="auto" w:fill="F2F2F2" w:themeFill="background1" w:themeFillShade="F2"/>
            <w:vAlign w:val="center"/>
            <w:hideMark/>
          </w:tcPr>
          <w:p w14:paraId="7FB9B6A1"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4</w:t>
            </w:r>
          </w:p>
        </w:tc>
        <w:tc>
          <w:tcPr>
            <w:tcW w:w="941" w:type="dxa"/>
            <w:shd w:val="clear" w:color="auto" w:fill="F2F2F2" w:themeFill="background1" w:themeFillShade="F2"/>
            <w:vAlign w:val="center"/>
          </w:tcPr>
          <w:p w14:paraId="12A03A93"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2</w:t>
            </w:r>
          </w:p>
        </w:tc>
        <w:tc>
          <w:tcPr>
            <w:tcW w:w="950" w:type="dxa"/>
            <w:gridSpan w:val="2"/>
            <w:shd w:val="clear" w:color="auto" w:fill="E1F4FF"/>
            <w:vAlign w:val="center"/>
            <w:hideMark/>
          </w:tcPr>
          <w:p w14:paraId="27F3C516"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31" w:type="dxa"/>
            <w:shd w:val="clear" w:color="auto" w:fill="E1F4FF"/>
            <w:vAlign w:val="center"/>
          </w:tcPr>
          <w:p w14:paraId="4DDCB2D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BE4D5" w:themeFill="accent2" w:themeFillTint="33"/>
            <w:vAlign w:val="center"/>
            <w:hideMark/>
          </w:tcPr>
          <w:p w14:paraId="26C681E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6.6 (ponderado)</w:t>
            </w:r>
          </w:p>
        </w:tc>
        <w:tc>
          <w:tcPr>
            <w:tcW w:w="1358" w:type="dxa"/>
            <w:shd w:val="clear" w:color="auto" w:fill="FBE4D5" w:themeFill="accent2" w:themeFillTint="33"/>
            <w:vAlign w:val="center"/>
          </w:tcPr>
          <w:p w14:paraId="28726EE9" w14:textId="1781E61D"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4</w:t>
            </w:r>
            <w:r w:rsidR="00494D81">
              <w:rPr>
                <w:rFonts w:ascii="Century Gothic" w:hAnsi="Century Gothic" w:cs="Calibri"/>
                <w:color w:val="000000"/>
                <w:sz w:val="16"/>
                <w:szCs w:val="16"/>
              </w:rPr>
              <w:t>.</w:t>
            </w:r>
            <w:r w:rsidRPr="00296E53">
              <w:rPr>
                <w:rFonts w:ascii="Century Gothic" w:hAnsi="Century Gothic" w:cs="Calibri"/>
                <w:color w:val="000000"/>
                <w:sz w:val="16"/>
                <w:szCs w:val="16"/>
              </w:rPr>
              <w:t>6 (ponderado)</w:t>
            </w:r>
          </w:p>
        </w:tc>
      </w:tr>
      <w:tr w:rsidR="00CA64C3" w:rsidRPr="00296E53" w14:paraId="5A72F571" w14:textId="77777777" w:rsidTr="005F4642">
        <w:trPr>
          <w:trHeight w:val="20"/>
          <w:jc w:val="center"/>
        </w:trPr>
        <w:tc>
          <w:tcPr>
            <w:tcW w:w="841" w:type="dxa"/>
            <w:shd w:val="clear" w:color="auto" w:fill="F2F2F2" w:themeFill="background1" w:themeFillShade="F2"/>
            <w:noWrap/>
            <w:vAlign w:val="center"/>
            <w:hideMark/>
          </w:tcPr>
          <w:p w14:paraId="5CE8AF09"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DGEE</w:t>
            </w:r>
          </w:p>
        </w:tc>
        <w:tc>
          <w:tcPr>
            <w:tcW w:w="6389" w:type="dxa"/>
            <w:shd w:val="clear" w:color="auto" w:fill="F2F2F2" w:themeFill="background1" w:themeFillShade="F2"/>
            <w:vAlign w:val="center"/>
            <w:hideMark/>
          </w:tcPr>
          <w:p w14:paraId="658FCA27"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Accidentes de Tránsito Terrestre</w:t>
            </w:r>
          </w:p>
        </w:tc>
        <w:tc>
          <w:tcPr>
            <w:tcW w:w="851" w:type="dxa"/>
            <w:shd w:val="clear" w:color="auto" w:fill="F2F2F2" w:themeFill="background1" w:themeFillShade="F2"/>
            <w:vAlign w:val="center"/>
          </w:tcPr>
          <w:p w14:paraId="584B2AD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w:t>
            </w:r>
          </w:p>
        </w:tc>
        <w:tc>
          <w:tcPr>
            <w:tcW w:w="941" w:type="dxa"/>
            <w:shd w:val="clear" w:color="auto" w:fill="F2F2F2" w:themeFill="background1" w:themeFillShade="F2"/>
            <w:vAlign w:val="center"/>
          </w:tcPr>
          <w:p w14:paraId="56B81AF4"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w:t>
            </w:r>
          </w:p>
        </w:tc>
        <w:tc>
          <w:tcPr>
            <w:tcW w:w="940" w:type="dxa"/>
            <w:shd w:val="clear" w:color="auto" w:fill="E1F4FF"/>
            <w:vAlign w:val="center"/>
          </w:tcPr>
          <w:p w14:paraId="6FEEE51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41" w:type="dxa"/>
            <w:gridSpan w:val="2"/>
            <w:shd w:val="clear" w:color="auto" w:fill="E1F4FF"/>
            <w:vAlign w:val="center"/>
          </w:tcPr>
          <w:p w14:paraId="3AD7BD7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BE4D5" w:themeFill="accent2" w:themeFillTint="33"/>
            <w:vAlign w:val="center"/>
            <w:hideMark/>
          </w:tcPr>
          <w:p w14:paraId="018D09F4"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BE4D5" w:themeFill="accent2" w:themeFillTint="33"/>
            <w:vAlign w:val="center"/>
          </w:tcPr>
          <w:p w14:paraId="1AC38932"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4.3</w:t>
            </w:r>
          </w:p>
        </w:tc>
      </w:tr>
      <w:tr w:rsidR="00CA64C3" w:rsidRPr="00296E53" w14:paraId="2B302E86" w14:textId="77777777" w:rsidTr="005F4642">
        <w:trPr>
          <w:trHeight w:val="20"/>
          <w:jc w:val="center"/>
        </w:trPr>
        <w:tc>
          <w:tcPr>
            <w:tcW w:w="841" w:type="dxa"/>
            <w:shd w:val="clear" w:color="auto" w:fill="D9D9D9" w:themeFill="background1" w:themeFillShade="D9"/>
            <w:noWrap/>
            <w:vAlign w:val="center"/>
            <w:hideMark/>
          </w:tcPr>
          <w:p w14:paraId="073ED0D3"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DGEE</w:t>
            </w:r>
          </w:p>
        </w:tc>
        <w:tc>
          <w:tcPr>
            <w:tcW w:w="6389" w:type="dxa"/>
            <w:shd w:val="clear" w:color="auto" w:fill="D9D9D9" w:themeFill="background1" w:themeFillShade="D9"/>
            <w:vAlign w:val="center"/>
            <w:hideMark/>
          </w:tcPr>
          <w:p w14:paraId="0FDDE581"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Transporte Urbano de Pasajeros</w:t>
            </w:r>
          </w:p>
        </w:tc>
        <w:tc>
          <w:tcPr>
            <w:tcW w:w="851" w:type="dxa"/>
            <w:shd w:val="clear" w:color="auto" w:fill="D9D9D9" w:themeFill="background1" w:themeFillShade="D9"/>
            <w:vAlign w:val="center"/>
          </w:tcPr>
          <w:p w14:paraId="4EBA37D7"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6</w:t>
            </w:r>
          </w:p>
        </w:tc>
        <w:tc>
          <w:tcPr>
            <w:tcW w:w="941" w:type="dxa"/>
            <w:shd w:val="clear" w:color="auto" w:fill="D9D9D9" w:themeFill="background1" w:themeFillShade="D9"/>
            <w:vAlign w:val="center"/>
          </w:tcPr>
          <w:p w14:paraId="58FD12D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10</w:t>
            </w:r>
          </w:p>
        </w:tc>
        <w:tc>
          <w:tcPr>
            <w:tcW w:w="940" w:type="dxa"/>
            <w:shd w:val="clear" w:color="auto" w:fill="C5EAFF"/>
            <w:vAlign w:val="center"/>
          </w:tcPr>
          <w:p w14:paraId="7FC9875E"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41" w:type="dxa"/>
            <w:gridSpan w:val="2"/>
            <w:shd w:val="clear" w:color="auto" w:fill="C5EAFF"/>
            <w:vAlign w:val="center"/>
          </w:tcPr>
          <w:p w14:paraId="715B0E3E"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hideMark/>
          </w:tcPr>
          <w:p w14:paraId="4D3E4C5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6A03B47E"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1.54</w:t>
            </w:r>
          </w:p>
        </w:tc>
      </w:tr>
      <w:tr w:rsidR="00CA64C3" w:rsidRPr="00296E53" w14:paraId="3DBDEEF1" w14:textId="77777777" w:rsidTr="005F4642">
        <w:trPr>
          <w:trHeight w:val="20"/>
          <w:jc w:val="center"/>
        </w:trPr>
        <w:tc>
          <w:tcPr>
            <w:tcW w:w="841" w:type="dxa"/>
            <w:shd w:val="clear" w:color="auto" w:fill="D9D9D9" w:themeFill="background1" w:themeFillShade="D9"/>
            <w:noWrap/>
            <w:vAlign w:val="center"/>
            <w:hideMark/>
          </w:tcPr>
          <w:p w14:paraId="7275A1F8"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DGEE</w:t>
            </w:r>
          </w:p>
        </w:tc>
        <w:tc>
          <w:tcPr>
            <w:tcW w:w="6389" w:type="dxa"/>
            <w:shd w:val="clear" w:color="auto" w:fill="D9D9D9" w:themeFill="background1" w:themeFillShade="D9"/>
            <w:vAlign w:val="center"/>
            <w:hideMark/>
          </w:tcPr>
          <w:p w14:paraId="25D39863"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 xml:space="preserve">Vehículos de Motor Registrados en Circulación </w:t>
            </w:r>
          </w:p>
        </w:tc>
        <w:tc>
          <w:tcPr>
            <w:tcW w:w="851" w:type="dxa"/>
            <w:shd w:val="clear" w:color="auto" w:fill="D9D9D9" w:themeFill="background1" w:themeFillShade="D9"/>
            <w:vAlign w:val="center"/>
          </w:tcPr>
          <w:p w14:paraId="4189DA04"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6</w:t>
            </w:r>
          </w:p>
        </w:tc>
        <w:tc>
          <w:tcPr>
            <w:tcW w:w="941" w:type="dxa"/>
            <w:shd w:val="clear" w:color="auto" w:fill="D9D9D9" w:themeFill="background1" w:themeFillShade="D9"/>
            <w:vAlign w:val="center"/>
          </w:tcPr>
          <w:p w14:paraId="607DB34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12</w:t>
            </w:r>
          </w:p>
        </w:tc>
        <w:tc>
          <w:tcPr>
            <w:tcW w:w="940" w:type="dxa"/>
            <w:shd w:val="clear" w:color="auto" w:fill="C5EAFF"/>
            <w:vAlign w:val="center"/>
          </w:tcPr>
          <w:p w14:paraId="515487B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41" w:type="dxa"/>
            <w:gridSpan w:val="2"/>
            <w:shd w:val="clear" w:color="auto" w:fill="C5EAFF"/>
            <w:vAlign w:val="center"/>
          </w:tcPr>
          <w:p w14:paraId="32E80D51"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0B53A3F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22C6BFEF"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r>
      <w:tr w:rsidR="00CA64C3" w:rsidRPr="00296E53" w14:paraId="74714D22" w14:textId="77777777" w:rsidTr="005F4642">
        <w:trPr>
          <w:trHeight w:val="20"/>
          <w:jc w:val="center"/>
        </w:trPr>
        <w:tc>
          <w:tcPr>
            <w:tcW w:w="841" w:type="dxa"/>
            <w:shd w:val="clear" w:color="auto" w:fill="D9D9D9" w:themeFill="background1" w:themeFillShade="D9"/>
            <w:noWrap/>
            <w:vAlign w:val="center"/>
            <w:hideMark/>
          </w:tcPr>
          <w:p w14:paraId="3A847974"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DGEE</w:t>
            </w:r>
          </w:p>
        </w:tc>
        <w:tc>
          <w:tcPr>
            <w:tcW w:w="6389" w:type="dxa"/>
            <w:shd w:val="clear" w:color="auto" w:fill="D9D9D9" w:themeFill="background1" w:themeFillShade="D9"/>
            <w:vAlign w:val="center"/>
            <w:hideMark/>
          </w:tcPr>
          <w:p w14:paraId="0734322F"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Sacrificio de Ganado en Rastros Municipales</w:t>
            </w:r>
          </w:p>
        </w:tc>
        <w:tc>
          <w:tcPr>
            <w:tcW w:w="851" w:type="dxa"/>
            <w:shd w:val="clear" w:color="auto" w:fill="D9D9D9" w:themeFill="background1" w:themeFillShade="D9"/>
            <w:vAlign w:val="center"/>
          </w:tcPr>
          <w:p w14:paraId="7875DCC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10</w:t>
            </w:r>
          </w:p>
        </w:tc>
        <w:tc>
          <w:tcPr>
            <w:tcW w:w="941" w:type="dxa"/>
            <w:shd w:val="clear" w:color="auto" w:fill="D9D9D9" w:themeFill="background1" w:themeFillShade="D9"/>
            <w:vAlign w:val="center"/>
          </w:tcPr>
          <w:p w14:paraId="5CA3EF32"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12</w:t>
            </w:r>
          </w:p>
        </w:tc>
        <w:tc>
          <w:tcPr>
            <w:tcW w:w="940" w:type="dxa"/>
            <w:shd w:val="clear" w:color="auto" w:fill="C5EAFF"/>
            <w:vAlign w:val="center"/>
          </w:tcPr>
          <w:p w14:paraId="181C4BD3"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41" w:type="dxa"/>
            <w:gridSpan w:val="2"/>
            <w:shd w:val="clear" w:color="auto" w:fill="C5EAFF"/>
            <w:vAlign w:val="center"/>
          </w:tcPr>
          <w:p w14:paraId="10959E65"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56EA39C5"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2.8</w:t>
            </w:r>
          </w:p>
        </w:tc>
        <w:tc>
          <w:tcPr>
            <w:tcW w:w="1358" w:type="dxa"/>
            <w:shd w:val="clear" w:color="auto" w:fill="F7CAAC" w:themeFill="accent2" w:themeFillTint="66"/>
            <w:vAlign w:val="center"/>
          </w:tcPr>
          <w:p w14:paraId="72B7136E" w14:textId="70B4F586"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4.</w:t>
            </w:r>
            <w:r w:rsidR="00494D81">
              <w:rPr>
                <w:rFonts w:ascii="Century Gothic" w:hAnsi="Century Gothic" w:cs="Calibri"/>
                <w:color w:val="000000"/>
                <w:sz w:val="16"/>
                <w:szCs w:val="16"/>
              </w:rPr>
              <w:t>6</w:t>
            </w:r>
          </w:p>
        </w:tc>
      </w:tr>
      <w:tr w:rsidR="00CA64C3" w:rsidRPr="00296E53" w14:paraId="0DAA6F23" w14:textId="77777777" w:rsidTr="005F4642">
        <w:trPr>
          <w:trHeight w:val="20"/>
          <w:jc w:val="center"/>
        </w:trPr>
        <w:tc>
          <w:tcPr>
            <w:tcW w:w="841" w:type="dxa"/>
            <w:shd w:val="clear" w:color="auto" w:fill="F2F2F2" w:themeFill="background1" w:themeFillShade="F2"/>
            <w:noWrap/>
            <w:vAlign w:val="center"/>
            <w:hideMark/>
          </w:tcPr>
          <w:p w14:paraId="39A8FA07"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DGES</w:t>
            </w:r>
          </w:p>
        </w:tc>
        <w:tc>
          <w:tcPr>
            <w:tcW w:w="6389" w:type="dxa"/>
            <w:shd w:val="clear" w:color="auto" w:fill="F2F2F2" w:themeFill="background1" w:themeFillShade="F2"/>
            <w:vAlign w:val="center"/>
            <w:hideMark/>
          </w:tcPr>
          <w:p w14:paraId="228CAEF1"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Estadística de Defunciones Registradas</w:t>
            </w:r>
          </w:p>
        </w:tc>
        <w:tc>
          <w:tcPr>
            <w:tcW w:w="851" w:type="dxa"/>
            <w:shd w:val="clear" w:color="auto" w:fill="F2F2F2" w:themeFill="background1" w:themeFillShade="F2"/>
            <w:vAlign w:val="center"/>
          </w:tcPr>
          <w:p w14:paraId="0A202992"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1" w:type="dxa"/>
            <w:shd w:val="clear" w:color="auto" w:fill="F2F2F2" w:themeFill="background1" w:themeFillShade="F2"/>
            <w:vAlign w:val="center"/>
          </w:tcPr>
          <w:p w14:paraId="0EE78D99"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0" w:type="dxa"/>
            <w:shd w:val="clear" w:color="auto" w:fill="E1F4FF"/>
            <w:vAlign w:val="center"/>
          </w:tcPr>
          <w:p w14:paraId="642FEBF7"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0.2</w:t>
            </w:r>
          </w:p>
        </w:tc>
        <w:tc>
          <w:tcPr>
            <w:tcW w:w="941" w:type="dxa"/>
            <w:gridSpan w:val="2"/>
            <w:shd w:val="clear" w:color="auto" w:fill="E1F4FF"/>
            <w:vAlign w:val="center"/>
          </w:tcPr>
          <w:p w14:paraId="1D7C4437"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0.16</w:t>
            </w:r>
          </w:p>
        </w:tc>
        <w:tc>
          <w:tcPr>
            <w:tcW w:w="1358" w:type="dxa"/>
            <w:shd w:val="clear" w:color="auto" w:fill="FBE4D5" w:themeFill="accent2" w:themeFillTint="33"/>
            <w:vAlign w:val="center"/>
          </w:tcPr>
          <w:p w14:paraId="4351B185"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0.1</w:t>
            </w:r>
          </w:p>
        </w:tc>
        <w:tc>
          <w:tcPr>
            <w:tcW w:w="1358" w:type="dxa"/>
            <w:shd w:val="clear" w:color="auto" w:fill="FBE4D5" w:themeFill="accent2" w:themeFillTint="33"/>
            <w:vAlign w:val="center"/>
          </w:tcPr>
          <w:p w14:paraId="3014165B"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0.00046</w:t>
            </w:r>
          </w:p>
        </w:tc>
      </w:tr>
      <w:tr w:rsidR="00CA64C3" w:rsidRPr="00296E53" w14:paraId="0850C340" w14:textId="77777777" w:rsidTr="005F4642">
        <w:trPr>
          <w:trHeight w:val="20"/>
          <w:jc w:val="center"/>
        </w:trPr>
        <w:tc>
          <w:tcPr>
            <w:tcW w:w="841" w:type="dxa"/>
            <w:shd w:val="clear" w:color="auto" w:fill="F2F2F2" w:themeFill="background1" w:themeFillShade="F2"/>
            <w:noWrap/>
            <w:vAlign w:val="center"/>
          </w:tcPr>
          <w:p w14:paraId="5E764F87" w14:textId="77777777" w:rsidR="00CA64C3" w:rsidRPr="00296E53" w:rsidRDefault="00CA64C3" w:rsidP="005F4642">
            <w:pPr>
              <w:jc w:val="center"/>
              <w:rPr>
                <w:rFonts w:ascii="Century Gothic" w:hAnsi="Century Gothic"/>
                <w:color w:val="000000"/>
                <w:sz w:val="16"/>
                <w:szCs w:val="16"/>
              </w:rPr>
            </w:pPr>
            <w:r w:rsidRPr="00296E53">
              <w:rPr>
                <w:rFonts w:ascii="Century Gothic" w:hAnsi="Century Gothic"/>
                <w:color w:val="000000"/>
                <w:sz w:val="16"/>
                <w:szCs w:val="16"/>
              </w:rPr>
              <w:t>DGES</w:t>
            </w:r>
          </w:p>
        </w:tc>
        <w:tc>
          <w:tcPr>
            <w:tcW w:w="6389" w:type="dxa"/>
            <w:shd w:val="clear" w:color="auto" w:fill="F2F2F2" w:themeFill="background1" w:themeFillShade="F2"/>
            <w:vAlign w:val="center"/>
          </w:tcPr>
          <w:p w14:paraId="7BD5E89F" w14:textId="77777777" w:rsidR="00CA64C3" w:rsidRPr="00296E53" w:rsidRDefault="00CA64C3" w:rsidP="005F4642">
            <w:pPr>
              <w:rPr>
                <w:rFonts w:ascii="Century Gothic" w:hAnsi="Century Gothic"/>
                <w:color w:val="000000"/>
                <w:sz w:val="16"/>
                <w:szCs w:val="16"/>
              </w:rPr>
            </w:pPr>
            <w:r w:rsidRPr="00296E53">
              <w:rPr>
                <w:rFonts w:ascii="Century Gothic" w:hAnsi="Century Gothic"/>
                <w:color w:val="000000"/>
                <w:sz w:val="16"/>
                <w:szCs w:val="16"/>
              </w:rPr>
              <w:t>Estadísticas de defunciones fetales</w:t>
            </w:r>
          </w:p>
        </w:tc>
        <w:tc>
          <w:tcPr>
            <w:tcW w:w="851" w:type="dxa"/>
            <w:shd w:val="clear" w:color="auto" w:fill="F2F2F2" w:themeFill="background1" w:themeFillShade="F2"/>
            <w:vAlign w:val="center"/>
          </w:tcPr>
          <w:p w14:paraId="584A2242"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1" w:type="dxa"/>
            <w:shd w:val="clear" w:color="auto" w:fill="F2F2F2" w:themeFill="background1" w:themeFillShade="F2"/>
            <w:vAlign w:val="center"/>
          </w:tcPr>
          <w:p w14:paraId="2F11199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940" w:type="dxa"/>
            <w:shd w:val="clear" w:color="auto" w:fill="E1F4FF"/>
            <w:vAlign w:val="center"/>
          </w:tcPr>
          <w:p w14:paraId="3E107B7F"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0.1</w:t>
            </w:r>
          </w:p>
        </w:tc>
        <w:tc>
          <w:tcPr>
            <w:tcW w:w="941" w:type="dxa"/>
            <w:gridSpan w:val="2"/>
            <w:shd w:val="clear" w:color="auto" w:fill="E1F4FF"/>
            <w:vAlign w:val="center"/>
          </w:tcPr>
          <w:p w14:paraId="195E7A5A"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1358" w:type="dxa"/>
            <w:shd w:val="clear" w:color="auto" w:fill="FBE4D5" w:themeFill="accent2" w:themeFillTint="33"/>
            <w:vAlign w:val="center"/>
          </w:tcPr>
          <w:p w14:paraId="58887F8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BE4D5" w:themeFill="accent2" w:themeFillTint="33"/>
            <w:vAlign w:val="center"/>
          </w:tcPr>
          <w:p w14:paraId="07920830"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r>
      <w:tr w:rsidR="00CA64C3" w:rsidRPr="00296E53" w14:paraId="3D09499B" w14:textId="77777777" w:rsidTr="005F4642">
        <w:trPr>
          <w:trHeight w:val="20"/>
          <w:jc w:val="center"/>
        </w:trPr>
        <w:tc>
          <w:tcPr>
            <w:tcW w:w="841" w:type="dxa"/>
            <w:shd w:val="clear" w:color="auto" w:fill="F2F2F2" w:themeFill="background1" w:themeFillShade="F2"/>
            <w:noWrap/>
            <w:vAlign w:val="center"/>
            <w:hideMark/>
          </w:tcPr>
          <w:p w14:paraId="1D5F2F5D"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DGES</w:t>
            </w:r>
          </w:p>
        </w:tc>
        <w:tc>
          <w:tcPr>
            <w:tcW w:w="6389" w:type="dxa"/>
            <w:shd w:val="clear" w:color="auto" w:fill="F2F2F2" w:themeFill="background1" w:themeFillShade="F2"/>
            <w:vAlign w:val="center"/>
            <w:hideMark/>
          </w:tcPr>
          <w:p w14:paraId="67A8D6B4"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Estadística de Matrimonios</w:t>
            </w:r>
          </w:p>
        </w:tc>
        <w:tc>
          <w:tcPr>
            <w:tcW w:w="851" w:type="dxa"/>
            <w:shd w:val="clear" w:color="auto" w:fill="F2F2F2" w:themeFill="background1" w:themeFillShade="F2"/>
            <w:vAlign w:val="center"/>
          </w:tcPr>
          <w:p w14:paraId="5341A203"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1" w:type="dxa"/>
            <w:shd w:val="clear" w:color="auto" w:fill="F2F2F2" w:themeFill="background1" w:themeFillShade="F2"/>
            <w:vAlign w:val="center"/>
          </w:tcPr>
          <w:p w14:paraId="17F13924"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0" w:type="dxa"/>
            <w:shd w:val="clear" w:color="auto" w:fill="E1F4FF"/>
            <w:vAlign w:val="center"/>
            <w:hideMark/>
          </w:tcPr>
          <w:p w14:paraId="1C29CAB6"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41" w:type="dxa"/>
            <w:gridSpan w:val="2"/>
            <w:shd w:val="clear" w:color="auto" w:fill="E1F4FF"/>
            <w:vAlign w:val="center"/>
          </w:tcPr>
          <w:p w14:paraId="0A52572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0.0004</w:t>
            </w:r>
          </w:p>
        </w:tc>
        <w:tc>
          <w:tcPr>
            <w:tcW w:w="1358" w:type="dxa"/>
            <w:shd w:val="clear" w:color="auto" w:fill="FBE4D5" w:themeFill="accent2" w:themeFillTint="33"/>
            <w:vAlign w:val="center"/>
          </w:tcPr>
          <w:p w14:paraId="13E70F86"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0.1</w:t>
            </w:r>
          </w:p>
        </w:tc>
        <w:tc>
          <w:tcPr>
            <w:tcW w:w="1358" w:type="dxa"/>
            <w:shd w:val="clear" w:color="auto" w:fill="FBE4D5" w:themeFill="accent2" w:themeFillTint="33"/>
            <w:vAlign w:val="center"/>
          </w:tcPr>
          <w:p w14:paraId="224B47A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r>
      <w:tr w:rsidR="00CA64C3" w:rsidRPr="00296E53" w14:paraId="2AD1BDD8" w14:textId="77777777" w:rsidTr="005F4642">
        <w:trPr>
          <w:trHeight w:val="20"/>
          <w:jc w:val="center"/>
        </w:trPr>
        <w:tc>
          <w:tcPr>
            <w:tcW w:w="841" w:type="dxa"/>
            <w:shd w:val="clear" w:color="auto" w:fill="F2F2F2" w:themeFill="background1" w:themeFillShade="F2"/>
            <w:noWrap/>
            <w:vAlign w:val="center"/>
          </w:tcPr>
          <w:p w14:paraId="28599B06"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DGES</w:t>
            </w:r>
          </w:p>
        </w:tc>
        <w:tc>
          <w:tcPr>
            <w:tcW w:w="6389" w:type="dxa"/>
            <w:shd w:val="clear" w:color="auto" w:fill="F2F2F2" w:themeFill="background1" w:themeFillShade="F2"/>
            <w:vAlign w:val="center"/>
          </w:tcPr>
          <w:p w14:paraId="109CF53F"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Estadística de Divorcios</w:t>
            </w:r>
          </w:p>
        </w:tc>
        <w:tc>
          <w:tcPr>
            <w:tcW w:w="851" w:type="dxa"/>
            <w:shd w:val="clear" w:color="auto" w:fill="F2F2F2" w:themeFill="background1" w:themeFillShade="F2"/>
            <w:vAlign w:val="center"/>
          </w:tcPr>
          <w:p w14:paraId="707930F9"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1" w:type="dxa"/>
            <w:shd w:val="clear" w:color="auto" w:fill="F2F2F2" w:themeFill="background1" w:themeFillShade="F2"/>
            <w:vAlign w:val="center"/>
          </w:tcPr>
          <w:p w14:paraId="7458BE69"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0" w:type="dxa"/>
            <w:shd w:val="clear" w:color="auto" w:fill="E1F4FF"/>
            <w:vAlign w:val="center"/>
          </w:tcPr>
          <w:p w14:paraId="0B8DA906"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941" w:type="dxa"/>
            <w:gridSpan w:val="2"/>
            <w:shd w:val="clear" w:color="auto" w:fill="E1F4FF"/>
            <w:vAlign w:val="center"/>
          </w:tcPr>
          <w:p w14:paraId="549A0DCA"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0.025</w:t>
            </w:r>
          </w:p>
        </w:tc>
        <w:tc>
          <w:tcPr>
            <w:tcW w:w="1358" w:type="dxa"/>
            <w:shd w:val="clear" w:color="auto" w:fill="FBE4D5" w:themeFill="accent2" w:themeFillTint="33"/>
            <w:vAlign w:val="center"/>
          </w:tcPr>
          <w:p w14:paraId="350FEA95"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0.1</w:t>
            </w:r>
          </w:p>
        </w:tc>
        <w:tc>
          <w:tcPr>
            <w:tcW w:w="1358" w:type="dxa"/>
            <w:shd w:val="clear" w:color="auto" w:fill="FBE4D5" w:themeFill="accent2" w:themeFillTint="33"/>
            <w:vAlign w:val="center"/>
          </w:tcPr>
          <w:p w14:paraId="3EA714B2"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1.24</w:t>
            </w:r>
          </w:p>
        </w:tc>
      </w:tr>
      <w:tr w:rsidR="00CA64C3" w:rsidRPr="00296E53" w14:paraId="47FBD178" w14:textId="77777777" w:rsidTr="005F4642">
        <w:trPr>
          <w:trHeight w:val="20"/>
          <w:jc w:val="center"/>
        </w:trPr>
        <w:tc>
          <w:tcPr>
            <w:tcW w:w="841" w:type="dxa"/>
            <w:shd w:val="clear" w:color="auto" w:fill="D9D9D9" w:themeFill="background1" w:themeFillShade="D9"/>
            <w:noWrap/>
            <w:vAlign w:val="center"/>
          </w:tcPr>
          <w:p w14:paraId="4B6CBE64"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DGES</w:t>
            </w:r>
          </w:p>
        </w:tc>
        <w:tc>
          <w:tcPr>
            <w:tcW w:w="6389" w:type="dxa"/>
            <w:shd w:val="clear" w:color="auto" w:fill="D9D9D9" w:themeFill="background1" w:themeFillShade="D9"/>
            <w:vAlign w:val="center"/>
          </w:tcPr>
          <w:p w14:paraId="25D0E1A4"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Estadísticas de salud en establecimientos particulares</w:t>
            </w:r>
          </w:p>
        </w:tc>
        <w:tc>
          <w:tcPr>
            <w:tcW w:w="851" w:type="dxa"/>
            <w:shd w:val="clear" w:color="auto" w:fill="D9D9D9" w:themeFill="background1" w:themeFillShade="D9"/>
            <w:vAlign w:val="center"/>
          </w:tcPr>
          <w:p w14:paraId="596D05DA"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1" w:type="dxa"/>
            <w:shd w:val="clear" w:color="auto" w:fill="D9D9D9" w:themeFill="background1" w:themeFillShade="D9"/>
            <w:vAlign w:val="center"/>
          </w:tcPr>
          <w:p w14:paraId="46865BA7"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0" w:type="dxa"/>
            <w:shd w:val="clear" w:color="auto" w:fill="C5EAFF"/>
            <w:vAlign w:val="center"/>
          </w:tcPr>
          <w:p w14:paraId="2B76FF3E"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41" w:type="dxa"/>
            <w:gridSpan w:val="2"/>
            <w:shd w:val="clear" w:color="auto" w:fill="C5EAFF"/>
            <w:vAlign w:val="center"/>
          </w:tcPr>
          <w:p w14:paraId="0F2AC4BE"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76CA70FB"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0.4</w:t>
            </w:r>
          </w:p>
        </w:tc>
        <w:tc>
          <w:tcPr>
            <w:tcW w:w="1358" w:type="dxa"/>
            <w:shd w:val="clear" w:color="auto" w:fill="F7CAAC" w:themeFill="accent2" w:themeFillTint="66"/>
            <w:vAlign w:val="center"/>
          </w:tcPr>
          <w:p w14:paraId="4F5D43B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0.312</w:t>
            </w:r>
          </w:p>
        </w:tc>
      </w:tr>
      <w:tr w:rsidR="00CA64C3" w:rsidRPr="00296E53" w14:paraId="38FCC09A" w14:textId="77777777" w:rsidTr="005F4642">
        <w:trPr>
          <w:trHeight w:val="20"/>
          <w:jc w:val="center"/>
        </w:trPr>
        <w:tc>
          <w:tcPr>
            <w:tcW w:w="841" w:type="dxa"/>
            <w:shd w:val="clear" w:color="auto" w:fill="D9D9D9" w:themeFill="background1" w:themeFillShade="D9"/>
            <w:noWrap/>
            <w:vAlign w:val="center"/>
          </w:tcPr>
          <w:p w14:paraId="229FCA74"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DGES</w:t>
            </w:r>
          </w:p>
        </w:tc>
        <w:tc>
          <w:tcPr>
            <w:tcW w:w="6389" w:type="dxa"/>
            <w:shd w:val="clear" w:color="auto" w:fill="D9D9D9" w:themeFill="background1" w:themeFillShade="D9"/>
            <w:vAlign w:val="center"/>
          </w:tcPr>
          <w:p w14:paraId="67268028"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Estadística de Museos</w:t>
            </w:r>
          </w:p>
        </w:tc>
        <w:tc>
          <w:tcPr>
            <w:tcW w:w="851" w:type="dxa"/>
            <w:shd w:val="clear" w:color="auto" w:fill="D9D9D9" w:themeFill="background1" w:themeFillShade="D9"/>
            <w:vAlign w:val="center"/>
          </w:tcPr>
          <w:p w14:paraId="4B0F6B54"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941" w:type="dxa"/>
            <w:shd w:val="clear" w:color="auto" w:fill="D9D9D9" w:themeFill="background1" w:themeFillShade="D9"/>
            <w:vAlign w:val="center"/>
          </w:tcPr>
          <w:p w14:paraId="29954577"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0" w:type="dxa"/>
            <w:shd w:val="clear" w:color="auto" w:fill="C5EAFF"/>
            <w:vAlign w:val="center"/>
          </w:tcPr>
          <w:p w14:paraId="5E96B8C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941" w:type="dxa"/>
            <w:gridSpan w:val="2"/>
            <w:shd w:val="clear" w:color="auto" w:fill="C5EAFF"/>
            <w:vAlign w:val="center"/>
          </w:tcPr>
          <w:p w14:paraId="573C70C1"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44BE859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1358" w:type="dxa"/>
            <w:shd w:val="clear" w:color="auto" w:fill="F7CAAC" w:themeFill="accent2" w:themeFillTint="66"/>
            <w:vAlign w:val="center"/>
          </w:tcPr>
          <w:p w14:paraId="5C18A84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0.224</w:t>
            </w:r>
          </w:p>
        </w:tc>
      </w:tr>
      <w:tr w:rsidR="00CA64C3" w:rsidRPr="00296E53" w14:paraId="36EF5F13" w14:textId="77777777" w:rsidTr="005F4642">
        <w:trPr>
          <w:trHeight w:val="20"/>
          <w:jc w:val="center"/>
        </w:trPr>
        <w:tc>
          <w:tcPr>
            <w:tcW w:w="841" w:type="dxa"/>
            <w:shd w:val="clear" w:color="auto" w:fill="D9D9D9" w:themeFill="background1" w:themeFillShade="D9"/>
            <w:noWrap/>
            <w:vAlign w:val="center"/>
          </w:tcPr>
          <w:p w14:paraId="5375A3BE" w14:textId="77777777" w:rsidR="00CA64C3" w:rsidRPr="00296E53" w:rsidRDefault="00CA64C3" w:rsidP="005F4642">
            <w:pPr>
              <w:jc w:val="center"/>
              <w:rPr>
                <w:rFonts w:ascii="Century Gothic" w:hAnsi="Century Gothic"/>
                <w:color w:val="000000"/>
                <w:sz w:val="16"/>
                <w:szCs w:val="16"/>
              </w:rPr>
            </w:pPr>
            <w:r w:rsidRPr="00296E53">
              <w:rPr>
                <w:rFonts w:ascii="Century Gothic" w:hAnsi="Century Gothic"/>
                <w:color w:val="000000"/>
                <w:sz w:val="16"/>
                <w:szCs w:val="16"/>
              </w:rPr>
              <w:t>DGES</w:t>
            </w:r>
          </w:p>
        </w:tc>
        <w:tc>
          <w:tcPr>
            <w:tcW w:w="6389" w:type="dxa"/>
            <w:shd w:val="clear" w:color="auto" w:fill="D9D9D9" w:themeFill="background1" w:themeFillShade="D9"/>
            <w:vAlign w:val="center"/>
          </w:tcPr>
          <w:p w14:paraId="63179B05" w14:textId="77777777" w:rsidR="00CA64C3" w:rsidRPr="00296E53" w:rsidRDefault="00CA64C3" w:rsidP="005F4642">
            <w:pPr>
              <w:spacing w:after="0" w:line="240" w:lineRule="auto"/>
              <w:rPr>
                <w:rFonts w:ascii="Century Gothic" w:hAnsi="Century Gothic"/>
                <w:color w:val="000000"/>
                <w:sz w:val="16"/>
                <w:szCs w:val="16"/>
              </w:rPr>
            </w:pPr>
            <w:proofErr w:type="gramStart"/>
            <w:r w:rsidRPr="00296E53">
              <w:rPr>
                <w:rFonts w:ascii="Century Gothic" w:hAnsi="Century Gothic"/>
                <w:color w:val="000000"/>
                <w:sz w:val="16"/>
                <w:szCs w:val="16"/>
              </w:rPr>
              <w:t>Estadísticas  de</w:t>
            </w:r>
            <w:proofErr w:type="gramEnd"/>
            <w:r w:rsidRPr="00296E53">
              <w:rPr>
                <w:rFonts w:ascii="Century Gothic" w:hAnsi="Century Gothic"/>
                <w:color w:val="000000"/>
                <w:sz w:val="16"/>
                <w:szCs w:val="16"/>
              </w:rPr>
              <w:t xml:space="preserve"> relaciones laborales de jurisdicción local :</w:t>
            </w:r>
          </w:p>
        </w:tc>
        <w:tc>
          <w:tcPr>
            <w:tcW w:w="851" w:type="dxa"/>
            <w:shd w:val="clear" w:color="auto" w:fill="D9D9D9" w:themeFill="background1" w:themeFillShade="D9"/>
            <w:vAlign w:val="center"/>
          </w:tcPr>
          <w:p w14:paraId="1BA2F75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941" w:type="dxa"/>
            <w:shd w:val="clear" w:color="auto" w:fill="D9D9D9" w:themeFill="background1" w:themeFillShade="D9"/>
            <w:vAlign w:val="center"/>
          </w:tcPr>
          <w:p w14:paraId="55F7AD5B"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0" w:type="dxa"/>
            <w:shd w:val="clear" w:color="auto" w:fill="C5EAFF"/>
            <w:vAlign w:val="center"/>
          </w:tcPr>
          <w:p w14:paraId="19C2535A"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941" w:type="dxa"/>
            <w:gridSpan w:val="2"/>
            <w:shd w:val="clear" w:color="auto" w:fill="C5EAFF"/>
            <w:vAlign w:val="center"/>
          </w:tcPr>
          <w:p w14:paraId="4F046E9F"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7814BC2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1358" w:type="dxa"/>
            <w:shd w:val="clear" w:color="auto" w:fill="F7CAAC" w:themeFill="accent2" w:themeFillTint="66"/>
            <w:vAlign w:val="center"/>
          </w:tcPr>
          <w:p w14:paraId="4E83F233"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r>
    </w:tbl>
    <w:p w14:paraId="03A4D310" w14:textId="398BE1D5" w:rsidR="002D1CBE" w:rsidRPr="00296E53" w:rsidRDefault="00BC6AFA" w:rsidP="00D103B2">
      <w:pPr>
        <w:spacing w:after="100"/>
        <w:ind w:left="720"/>
        <w:jc w:val="both"/>
        <w:rPr>
          <w:rFonts w:ascii="Century Gothic" w:hAnsi="Century Gothic"/>
          <w:sz w:val="14"/>
          <w:szCs w:val="14"/>
        </w:rPr>
      </w:pPr>
      <w:r w:rsidRPr="00296E53">
        <w:rPr>
          <w:rFonts w:ascii="Century Gothic" w:hAnsi="Century Gothic"/>
          <w:sz w:val="14"/>
          <w:szCs w:val="14"/>
        </w:rPr>
        <w:t>* Estos datos son los reportados en el Informe Anual de Resultados 2019, correspondientes a los indicadores los registrados en metadatos durante ese año, independientemente del período de publicación de la información.</w:t>
      </w:r>
    </w:p>
    <w:p w14:paraId="55E82FC0" w14:textId="13306243" w:rsidR="00BC6AFA" w:rsidRPr="00296E53" w:rsidRDefault="00BC6AFA" w:rsidP="00D103B2">
      <w:pPr>
        <w:spacing w:after="100"/>
        <w:ind w:left="720"/>
        <w:jc w:val="both"/>
        <w:rPr>
          <w:rFonts w:ascii="Century Gothic" w:hAnsi="Century Gothic"/>
          <w:sz w:val="14"/>
          <w:szCs w:val="14"/>
        </w:rPr>
      </w:pPr>
      <w:r w:rsidRPr="00296E53">
        <w:rPr>
          <w:rFonts w:ascii="Century Gothic" w:hAnsi="Century Gothic"/>
          <w:sz w:val="14"/>
          <w:szCs w:val="14"/>
        </w:rPr>
        <w:t>** Estos datos corresponden a los indicadores registrados en metadatos durante el 2020, independientemente del período de publicación de la información.</w:t>
      </w:r>
    </w:p>
    <w:p w14:paraId="215C64E1" w14:textId="77777777" w:rsidR="00BC6AFA" w:rsidRPr="00296E53" w:rsidRDefault="00BC6AFA" w:rsidP="0044145A">
      <w:pPr>
        <w:spacing w:after="100"/>
        <w:jc w:val="both"/>
        <w:rPr>
          <w:rFonts w:ascii="Century Gothic" w:hAnsi="Century Gothic"/>
          <w:sz w:val="19"/>
          <w:szCs w:val="19"/>
        </w:rPr>
      </w:pPr>
    </w:p>
    <w:p w14:paraId="6541BA71" w14:textId="77777777" w:rsidR="00D675D7" w:rsidRPr="00296E53" w:rsidRDefault="0030359D" w:rsidP="0044145A">
      <w:pPr>
        <w:spacing w:after="100"/>
        <w:jc w:val="both"/>
        <w:rPr>
          <w:rFonts w:ascii="Century Gothic" w:hAnsi="Century Gothic"/>
          <w:sz w:val="19"/>
          <w:szCs w:val="19"/>
        </w:rPr>
      </w:pPr>
      <w:r w:rsidRPr="00296E53">
        <w:rPr>
          <w:rFonts w:ascii="Century Gothic" w:hAnsi="Century Gothic"/>
          <w:sz w:val="19"/>
          <w:szCs w:val="19"/>
        </w:rPr>
        <w:t>En el cuadro A.5.</w:t>
      </w:r>
      <w:r w:rsidR="00925879" w:rsidRPr="00296E53">
        <w:rPr>
          <w:rFonts w:ascii="Century Gothic" w:hAnsi="Century Gothic"/>
          <w:sz w:val="19"/>
          <w:szCs w:val="19"/>
        </w:rPr>
        <w:t>6</w:t>
      </w:r>
      <w:r w:rsidRPr="00296E53">
        <w:rPr>
          <w:rFonts w:ascii="Century Gothic" w:hAnsi="Century Gothic"/>
          <w:sz w:val="19"/>
          <w:szCs w:val="19"/>
        </w:rPr>
        <w:t>, se presentan medidas de resumen para la tasa de no respuesta por variable, alcanzados con la información reportada en 2019 y 2020.</w:t>
      </w:r>
      <w:r w:rsidR="00D675D7" w:rsidRPr="00296E53">
        <w:rPr>
          <w:rFonts w:ascii="Century Gothic" w:hAnsi="Century Gothic"/>
          <w:sz w:val="19"/>
          <w:szCs w:val="19"/>
        </w:rPr>
        <w:t xml:space="preserve"> Para los programas de estadísticas vitales, en particular para las defunciones registradas, matrimonios y divorcios se registró un aumento de la tasa de no respuesta en alguna de sus variables en comparación con lo reportado en 2019.</w:t>
      </w:r>
    </w:p>
    <w:p w14:paraId="259A72A5" w14:textId="77777777" w:rsidR="0030359D" w:rsidRPr="00296E53" w:rsidRDefault="00D675D7" w:rsidP="0044145A">
      <w:pPr>
        <w:spacing w:after="100"/>
        <w:jc w:val="both"/>
        <w:rPr>
          <w:rFonts w:ascii="Century Gothic" w:hAnsi="Century Gothic"/>
          <w:sz w:val="19"/>
          <w:szCs w:val="19"/>
        </w:rPr>
      </w:pPr>
      <w:r w:rsidRPr="00296E53">
        <w:rPr>
          <w:rFonts w:ascii="Century Gothic" w:hAnsi="Century Gothic"/>
          <w:sz w:val="19"/>
          <w:szCs w:val="19"/>
        </w:rPr>
        <w:t>Por otro lado, en su primer registro las Estadística de relaciones laborales de jurisdicción local, también contaron algunos casos en donde no se reportó información para alguna de las variables consideradas.</w:t>
      </w:r>
      <w:r w:rsidR="0044145A" w:rsidRPr="00296E53">
        <w:rPr>
          <w:rFonts w:ascii="Century Gothic" w:hAnsi="Century Gothic"/>
          <w:sz w:val="19"/>
          <w:szCs w:val="19"/>
        </w:rPr>
        <w:t xml:space="preserve"> </w:t>
      </w:r>
      <w:r w:rsidRPr="00296E53">
        <w:rPr>
          <w:rFonts w:ascii="Century Gothic" w:hAnsi="Century Gothic"/>
          <w:sz w:val="19"/>
          <w:szCs w:val="19"/>
        </w:rPr>
        <w:t>Dado lo anterior, resulta conveniente analizar las causas y establecer estrategias operativas que permitirán mejorar la calidad de la información para el 2021</w:t>
      </w:r>
      <w:r w:rsidR="0044145A" w:rsidRPr="00296E53">
        <w:rPr>
          <w:rFonts w:ascii="Century Gothic" w:hAnsi="Century Gothic"/>
          <w:sz w:val="19"/>
          <w:szCs w:val="19"/>
        </w:rPr>
        <w:t>.</w:t>
      </w:r>
    </w:p>
    <w:p w14:paraId="312CE581" w14:textId="12EF7CD5" w:rsidR="0044145A" w:rsidRPr="00296E53" w:rsidRDefault="0044145A" w:rsidP="0044145A">
      <w:pPr>
        <w:spacing w:after="100"/>
        <w:jc w:val="both"/>
        <w:rPr>
          <w:rFonts w:ascii="Century Gothic" w:hAnsi="Century Gothic"/>
          <w:sz w:val="19"/>
          <w:szCs w:val="19"/>
        </w:rPr>
      </w:pPr>
    </w:p>
    <w:p w14:paraId="0894A2FE" w14:textId="77777777" w:rsidR="00CD41D5" w:rsidRPr="00296E53" w:rsidRDefault="00CD41D5" w:rsidP="0044145A">
      <w:pPr>
        <w:spacing w:after="100"/>
        <w:jc w:val="both"/>
        <w:rPr>
          <w:rFonts w:ascii="Century Gothic" w:hAnsi="Century Gothic"/>
          <w:sz w:val="19"/>
          <w:szCs w:val="19"/>
        </w:rPr>
      </w:pPr>
    </w:p>
    <w:p w14:paraId="226D5D3B" w14:textId="77777777" w:rsidR="0030359D" w:rsidRPr="00296E53" w:rsidRDefault="0030359D" w:rsidP="0030359D">
      <w:pPr>
        <w:spacing w:after="100"/>
        <w:ind w:left="284"/>
        <w:jc w:val="center"/>
        <w:rPr>
          <w:rFonts w:ascii="Century Gothic" w:hAnsi="Century Gothic"/>
          <w:sz w:val="19"/>
          <w:szCs w:val="19"/>
        </w:rPr>
      </w:pPr>
      <w:r w:rsidRPr="00296E53">
        <w:rPr>
          <w:rFonts w:ascii="Century Gothic" w:hAnsi="Century Gothic"/>
          <w:b/>
          <w:bCs/>
          <w:sz w:val="20"/>
          <w:szCs w:val="20"/>
        </w:rPr>
        <w:t>A.5.</w:t>
      </w:r>
      <w:r w:rsidR="00925879" w:rsidRPr="00296E53">
        <w:rPr>
          <w:rFonts w:ascii="Century Gothic" w:hAnsi="Century Gothic"/>
          <w:b/>
          <w:bCs/>
          <w:sz w:val="20"/>
          <w:szCs w:val="20"/>
        </w:rPr>
        <w:t>6</w:t>
      </w:r>
      <w:r w:rsidRPr="00296E53">
        <w:rPr>
          <w:rFonts w:ascii="Century Gothic" w:hAnsi="Century Gothic"/>
          <w:b/>
          <w:bCs/>
          <w:sz w:val="20"/>
          <w:szCs w:val="20"/>
        </w:rPr>
        <w:t xml:space="preserve"> Comparativo 2019-2020 sobre los valores medios y máximos alcanzados en tasa de no respuesta por variable</w:t>
      </w:r>
    </w:p>
    <w:tbl>
      <w:tblPr>
        <w:tblW w:w="12343"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41"/>
        <w:gridCol w:w="6349"/>
        <w:gridCol w:w="616"/>
        <w:gridCol w:w="616"/>
        <w:gridCol w:w="982"/>
        <w:gridCol w:w="982"/>
        <w:gridCol w:w="978"/>
        <w:gridCol w:w="979"/>
      </w:tblGrid>
      <w:tr w:rsidR="0030359D" w:rsidRPr="00296E53" w14:paraId="7A0F1EBB" w14:textId="77777777" w:rsidTr="0030359D">
        <w:trPr>
          <w:trHeight w:val="20"/>
          <w:tblHeader/>
          <w:jc w:val="center"/>
        </w:trPr>
        <w:tc>
          <w:tcPr>
            <w:tcW w:w="841" w:type="dxa"/>
            <w:vMerge w:val="restart"/>
            <w:shd w:val="clear" w:color="auto" w:fill="D9D9D9" w:themeFill="background1" w:themeFillShade="D9"/>
            <w:noWrap/>
            <w:vAlign w:val="center"/>
          </w:tcPr>
          <w:p w14:paraId="589E7254" w14:textId="77777777" w:rsidR="0030359D" w:rsidRPr="00296E53" w:rsidRDefault="0030359D" w:rsidP="0030359D">
            <w:pPr>
              <w:spacing w:beforeLines="20" w:before="48" w:afterLines="20" w:after="48" w:line="240" w:lineRule="auto"/>
              <w:jc w:val="center"/>
              <w:rPr>
                <w:rFonts w:ascii="Century Gothic" w:hAnsi="Century Gothic" w:cs="Calibri"/>
                <w:b/>
                <w:color w:val="000000"/>
                <w:sz w:val="17"/>
                <w:szCs w:val="17"/>
              </w:rPr>
            </w:pPr>
            <w:r w:rsidRPr="00296E53">
              <w:rPr>
                <w:rFonts w:ascii="Century Gothic" w:hAnsi="Century Gothic" w:cs="Calibri"/>
                <w:b/>
                <w:color w:val="000000"/>
                <w:sz w:val="17"/>
                <w:szCs w:val="17"/>
              </w:rPr>
              <w:t>UA</w:t>
            </w:r>
          </w:p>
        </w:tc>
        <w:tc>
          <w:tcPr>
            <w:tcW w:w="6349" w:type="dxa"/>
            <w:vMerge w:val="restart"/>
            <w:shd w:val="clear" w:color="auto" w:fill="D9D9D9" w:themeFill="background1" w:themeFillShade="D9"/>
            <w:vAlign w:val="center"/>
          </w:tcPr>
          <w:p w14:paraId="5194EECF" w14:textId="77777777" w:rsidR="0030359D" w:rsidRPr="00296E53" w:rsidRDefault="0030359D" w:rsidP="0030359D">
            <w:pPr>
              <w:spacing w:beforeLines="20" w:before="48" w:afterLines="20" w:after="48" w:line="240" w:lineRule="auto"/>
              <w:jc w:val="center"/>
              <w:rPr>
                <w:rFonts w:ascii="Century Gothic" w:hAnsi="Century Gothic" w:cs="Calibri"/>
                <w:b/>
                <w:bCs/>
                <w:sz w:val="17"/>
                <w:szCs w:val="17"/>
              </w:rPr>
            </w:pPr>
            <w:r w:rsidRPr="00296E53">
              <w:rPr>
                <w:rFonts w:ascii="Century Gothic" w:hAnsi="Century Gothic" w:cs="Calibri"/>
                <w:b/>
                <w:bCs/>
                <w:sz w:val="17"/>
                <w:szCs w:val="17"/>
              </w:rPr>
              <w:t>Programa</w:t>
            </w:r>
          </w:p>
        </w:tc>
        <w:tc>
          <w:tcPr>
            <w:tcW w:w="1232" w:type="dxa"/>
            <w:gridSpan w:val="2"/>
            <w:vMerge w:val="restart"/>
            <w:shd w:val="clear" w:color="auto" w:fill="D9D9D9" w:themeFill="background1" w:themeFillShade="D9"/>
            <w:vAlign w:val="center"/>
          </w:tcPr>
          <w:p w14:paraId="599A636C" w14:textId="77777777" w:rsidR="0030359D" w:rsidRPr="00296E53" w:rsidRDefault="0030359D" w:rsidP="0030359D">
            <w:pPr>
              <w:spacing w:beforeLines="20" w:before="48" w:afterLines="20" w:after="48" w:line="240" w:lineRule="auto"/>
              <w:jc w:val="center"/>
              <w:rPr>
                <w:rFonts w:ascii="Century Gothic" w:hAnsi="Century Gothic" w:cs="Calibri"/>
                <w:b/>
                <w:bCs/>
                <w:sz w:val="17"/>
                <w:szCs w:val="17"/>
              </w:rPr>
            </w:pPr>
            <w:r w:rsidRPr="00296E53">
              <w:rPr>
                <w:rFonts w:ascii="Century Gothic" w:hAnsi="Century Gothic" w:cs="Calibri"/>
                <w:b/>
                <w:bCs/>
                <w:sz w:val="17"/>
                <w:szCs w:val="17"/>
              </w:rPr>
              <w:t>Número de variables</w:t>
            </w:r>
          </w:p>
        </w:tc>
        <w:tc>
          <w:tcPr>
            <w:tcW w:w="3921" w:type="dxa"/>
            <w:gridSpan w:val="4"/>
            <w:shd w:val="clear" w:color="auto" w:fill="FFE599" w:themeFill="accent4" w:themeFillTint="66"/>
            <w:vAlign w:val="center"/>
          </w:tcPr>
          <w:p w14:paraId="12E5197A" w14:textId="0CBC7381" w:rsidR="0030359D" w:rsidRPr="00296E53" w:rsidRDefault="0030359D" w:rsidP="0030359D">
            <w:pPr>
              <w:spacing w:beforeLines="20" w:before="48" w:afterLines="20" w:after="48" w:line="240" w:lineRule="auto"/>
              <w:jc w:val="center"/>
              <w:rPr>
                <w:rFonts w:ascii="Century Gothic" w:hAnsi="Century Gothic" w:cs="Calibri"/>
                <w:b/>
                <w:color w:val="000000"/>
                <w:sz w:val="17"/>
                <w:szCs w:val="17"/>
              </w:rPr>
            </w:pPr>
            <w:r w:rsidRPr="00296E53">
              <w:rPr>
                <w:rFonts w:ascii="Century Gothic" w:hAnsi="Century Gothic" w:cs="Calibri"/>
                <w:b/>
                <w:color w:val="000000"/>
                <w:sz w:val="17"/>
                <w:szCs w:val="17"/>
              </w:rPr>
              <w:t>Tasa de no respuesta por variable (%)</w:t>
            </w:r>
          </w:p>
        </w:tc>
      </w:tr>
      <w:tr w:rsidR="0030359D" w:rsidRPr="00296E53" w14:paraId="688DDCAD" w14:textId="77777777" w:rsidTr="0030359D">
        <w:trPr>
          <w:trHeight w:val="20"/>
          <w:tblHeader/>
          <w:jc w:val="center"/>
        </w:trPr>
        <w:tc>
          <w:tcPr>
            <w:tcW w:w="841" w:type="dxa"/>
            <w:vMerge/>
            <w:shd w:val="clear" w:color="auto" w:fill="D9D9D9" w:themeFill="background1" w:themeFillShade="D9"/>
            <w:noWrap/>
            <w:vAlign w:val="center"/>
            <w:hideMark/>
          </w:tcPr>
          <w:p w14:paraId="311ADBBA" w14:textId="77777777" w:rsidR="0030359D" w:rsidRPr="00296E53" w:rsidRDefault="0030359D" w:rsidP="0030359D">
            <w:pPr>
              <w:spacing w:beforeLines="20" w:before="48" w:afterLines="20" w:after="48" w:line="240" w:lineRule="auto"/>
              <w:jc w:val="center"/>
              <w:rPr>
                <w:rFonts w:ascii="Century Gothic" w:hAnsi="Century Gothic"/>
                <w:b/>
                <w:sz w:val="17"/>
                <w:szCs w:val="17"/>
              </w:rPr>
            </w:pPr>
          </w:p>
        </w:tc>
        <w:tc>
          <w:tcPr>
            <w:tcW w:w="6349" w:type="dxa"/>
            <w:vMerge/>
            <w:shd w:val="clear" w:color="auto" w:fill="D9D9D9" w:themeFill="background1" w:themeFillShade="D9"/>
            <w:vAlign w:val="center"/>
            <w:hideMark/>
          </w:tcPr>
          <w:p w14:paraId="6E6C48B5" w14:textId="77777777" w:rsidR="0030359D" w:rsidRPr="00296E53" w:rsidRDefault="0030359D" w:rsidP="0030359D">
            <w:pPr>
              <w:spacing w:beforeLines="20" w:before="48" w:afterLines="20" w:after="48" w:line="240" w:lineRule="auto"/>
              <w:jc w:val="center"/>
              <w:rPr>
                <w:rFonts w:ascii="Century Gothic" w:hAnsi="Century Gothic"/>
                <w:b/>
                <w:sz w:val="17"/>
                <w:szCs w:val="17"/>
              </w:rPr>
            </w:pPr>
          </w:p>
        </w:tc>
        <w:tc>
          <w:tcPr>
            <w:tcW w:w="1232" w:type="dxa"/>
            <w:gridSpan w:val="2"/>
            <w:vMerge/>
            <w:shd w:val="clear" w:color="auto" w:fill="D9D9D9" w:themeFill="background1" w:themeFillShade="D9"/>
            <w:vAlign w:val="center"/>
            <w:hideMark/>
          </w:tcPr>
          <w:p w14:paraId="4B2E354C" w14:textId="77777777" w:rsidR="0030359D" w:rsidRPr="00296E53" w:rsidRDefault="0030359D" w:rsidP="0030359D">
            <w:pPr>
              <w:spacing w:beforeLines="20" w:before="48" w:afterLines="20" w:after="48" w:line="240" w:lineRule="auto"/>
              <w:jc w:val="center"/>
              <w:rPr>
                <w:rFonts w:ascii="Century Gothic" w:hAnsi="Century Gothic"/>
                <w:b/>
                <w:sz w:val="17"/>
                <w:szCs w:val="17"/>
              </w:rPr>
            </w:pPr>
          </w:p>
        </w:tc>
        <w:tc>
          <w:tcPr>
            <w:tcW w:w="1964" w:type="dxa"/>
            <w:gridSpan w:val="2"/>
            <w:shd w:val="clear" w:color="auto" w:fill="FFE599" w:themeFill="accent4" w:themeFillTint="66"/>
            <w:vAlign w:val="center"/>
            <w:hideMark/>
          </w:tcPr>
          <w:p w14:paraId="46BF9407" w14:textId="77777777" w:rsidR="0030359D" w:rsidRPr="00296E53" w:rsidRDefault="0030359D" w:rsidP="0030359D">
            <w:pPr>
              <w:spacing w:beforeLines="20" w:before="48" w:afterLines="20" w:after="48" w:line="240" w:lineRule="auto"/>
              <w:jc w:val="center"/>
              <w:rPr>
                <w:rFonts w:ascii="Century Gothic" w:hAnsi="Century Gothic" w:cs="Calibri"/>
                <w:b/>
                <w:color w:val="000000"/>
                <w:sz w:val="17"/>
                <w:szCs w:val="17"/>
              </w:rPr>
            </w:pPr>
            <w:r w:rsidRPr="00296E53">
              <w:rPr>
                <w:rFonts w:ascii="Century Gothic" w:hAnsi="Century Gothic" w:cs="Calibri"/>
                <w:color w:val="000000"/>
                <w:sz w:val="17"/>
                <w:szCs w:val="17"/>
              </w:rPr>
              <w:t>Media</w:t>
            </w:r>
          </w:p>
        </w:tc>
        <w:tc>
          <w:tcPr>
            <w:tcW w:w="1957" w:type="dxa"/>
            <w:gridSpan w:val="2"/>
            <w:shd w:val="clear" w:color="auto" w:fill="FFE599" w:themeFill="accent4" w:themeFillTint="66"/>
            <w:vAlign w:val="center"/>
            <w:hideMark/>
          </w:tcPr>
          <w:p w14:paraId="3E9EAE34" w14:textId="77777777" w:rsidR="0030359D" w:rsidRPr="00296E53" w:rsidRDefault="0030359D" w:rsidP="0030359D">
            <w:pPr>
              <w:spacing w:beforeLines="20" w:before="48" w:afterLines="20" w:after="48" w:line="240" w:lineRule="auto"/>
              <w:jc w:val="center"/>
              <w:rPr>
                <w:rFonts w:ascii="Century Gothic" w:hAnsi="Century Gothic" w:cs="Calibri"/>
                <w:b/>
                <w:color w:val="000000"/>
                <w:sz w:val="17"/>
                <w:szCs w:val="17"/>
              </w:rPr>
            </w:pPr>
            <w:r w:rsidRPr="00296E53">
              <w:rPr>
                <w:rFonts w:ascii="Century Gothic" w:hAnsi="Century Gothic" w:cs="Calibri"/>
                <w:color w:val="000000"/>
                <w:sz w:val="17"/>
                <w:szCs w:val="17"/>
              </w:rPr>
              <w:t>Máxima</w:t>
            </w:r>
          </w:p>
        </w:tc>
      </w:tr>
      <w:tr w:rsidR="0030359D" w:rsidRPr="00296E53" w14:paraId="2EDCEE59" w14:textId="77777777" w:rsidTr="0030359D">
        <w:trPr>
          <w:trHeight w:val="20"/>
          <w:jc w:val="center"/>
        </w:trPr>
        <w:tc>
          <w:tcPr>
            <w:tcW w:w="841" w:type="dxa"/>
            <w:vMerge/>
            <w:shd w:val="clear" w:color="auto" w:fill="F2F2F2" w:themeFill="background1" w:themeFillShade="F2"/>
            <w:noWrap/>
            <w:vAlign w:val="center"/>
          </w:tcPr>
          <w:p w14:paraId="2557C63F" w14:textId="77777777" w:rsidR="0030359D" w:rsidRPr="00296E53" w:rsidRDefault="0030359D" w:rsidP="0030359D">
            <w:pPr>
              <w:spacing w:beforeLines="20" w:before="48" w:afterLines="20" w:after="48" w:line="240" w:lineRule="auto"/>
              <w:jc w:val="center"/>
              <w:rPr>
                <w:rFonts w:ascii="Century Gothic" w:hAnsi="Century Gothic"/>
                <w:color w:val="000000"/>
                <w:sz w:val="17"/>
                <w:szCs w:val="17"/>
              </w:rPr>
            </w:pPr>
          </w:p>
        </w:tc>
        <w:tc>
          <w:tcPr>
            <w:tcW w:w="6349" w:type="dxa"/>
            <w:vMerge/>
            <w:shd w:val="clear" w:color="auto" w:fill="F2F2F2" w:themeFill="background1" w:themeFillShade="F2"/>
            <w:vAlign w:val="center"/>
          </w:tcPr>
          <w:p w14:paraId="335D19DB" w14:textId="77777777" w:rsidR="0030359D" w:rsidRPr="00296E53" w:rsidRDefault="0030359D" w:rsidP="0030359D">
            <w:pPr>
              <w:spacing w:beforeLines="20" w:before="48" w:afterLines="20" w:after="48" w:line="240" w:lineRule="auto"/>
              <w:rPr>
                <w:rFonts w:ascii="Century Gothic" w:hAnsi="Century Gothic"/>
                <w:color w:val="000000"/>
                <w:sz w:val="17"/>
                <w:szCs w:val="17"/>
              </w:rPr>
            </w:pPr>
          </w:p>
        </w:tc>
        <w:tc>
          <w:tcPr>
            <w:tcW w:w="616" w:type="dxa"/>
            <w:shd w:val="clear" w:color="auto" w:fill="D9D9D9" w:themeFill="background1" w:themeFillShade="D9"/>
            <w:vAlign w:val="center"/>
          </w:tcPr>
          <w:p w14:paraId="15B5BE8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2019</w:t>
            </w:r>
          </w:p>
        </w:tc>
        <w:tc>
          <w:tcPr>
            <w:tcW w:w="616" w:type="dxa"/>
            <w:shd w:val="clear" w:color="auto" w:fill="D9D9D9" w:themeFill="background1" w:themeFillShade="D9"/>
            <w:vAlign w:val="center"/>
          </w:tcPr>
          <w:p w14:paraId="785AFDF5"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2020</w:t>
            </w:r>
          </w:p>
        </w:tc>
        <w:tc>
          <w:tcPr>
            <w:tcW w:w="982" w:type="dxa"/>
            <w:shd w:val="clear" w:color="auto" w:fill="FFE599" w:themeFill="accent4" w:themeFillTint="66"/>
            <w:vAlign w:val="center"/>
          </w:tcPr>
          <w:p w14:paraId="55CD93B1" w14:textId="5EB0C999"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2019</w:t>
            </w:r>
            <w:r w:rsidR="00D103B2" w:rsidRPr="00296E53">
              <w:rPr>
                <w:rFonts w:ascii="Century Gothic" w:hAnsi="Century Gothic" w:cs="Calibri"/>
                <w:color w:val="000000"/>
                <w:sz w:val="17"/>
                <w:szCs w:val="17"/>
              </w:rPr>
              <w:t>*</w:t>
            </w:r>
          </w:p>
        </w:tc>
        <w:tc>
          <w:tcPr>
            <w:tcW w:w="982" w:type="dxa"/>
            <w:shd w:val="clear" w:color="auto" w:fill="FFE599" w:themeFill="accent4" w:themeFillTint="66"/>
            <w:vAlign w:val="center"/>
          </w:tcPr>
          <w:p w14:paraId="4AA7D886" w14:textId="4ED5108F"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2020</w:t>
            </w:r>
            <w:r w:rsidR="00D103B2" w:rsidRPr="00296E53">
              <w:rPr>
                <w:rFonts w:ascii="Century Gothic" w:hAnsi="Century Gothic" w:cs="Calibri"/>
                <w:color w:val="000000"/>
                <w:sz w:val="17"/>
                <w:szCs w:val="17"/>
              </w:rPr>
              <w:t>**</w:t>
            </w:r>
          </w:p>
        </w:tc>
        <w:tc>
          <w:tcPr>
            <w:tcW w:w="978" w:type="dxa"/>
            <w:shd w:val="clear" w:color="auto" w:fill="FFE599" w:themeFill="accent4" w:themeFillTint="66"/>
            <w:vAlign w:val="center"/>
          </w:tcPr>
          <w:p w14:paraId="242A63C0" w14:textId="64F6EC93"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2019</w:t>
            </w:r>
            <w:r w:rsidR="00D103B2" w:rsidRPr="00296E53">
              <w:rPr>
                <w:rFonts w:ascii="Century Gothic" w:hAnsi="Century Gothic" w:cs="Calibri"/>
                <w:color w:val="000000"/>
                <w:sz w:val="17"/>
                <w:szCs w:val="17"/>
              </w:rPr>
              <w:t>*</w:t>
            </w:r>
          </w:p>
        </w:tc>
        <w:tc>
          <w:tcPr>
            <w:tcW w:w="979" w:type="dxa"/>
            <w:shd w:val="clear" w:color="auto" w:fill="FFE599" w:themeFill="accent4" w:themeFillTint="66"/>
            <w:vAlign w:val="center"/>
          </w:tcPr>
          <w:p w14:paraId="094172C7" w14:textId="30CF2035"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2020</w:t>
            </w:r>
            <w:r w:rsidR="00D103B2" w:rsidRPr="00296E53">
              <w:rPr>
                <w:rFonts w:ascii="Century Gothic" w:hAnsi="Century Gothic" w:cs="Calibri"/>
                <w:color w:val="000000"/>
                <w:sz w:val="17"/>
                <w:szCs w:val="17"/>
              </w:rPr>
              <w:t>**</w:t>
            </w:r>
          </w:p>
        </w:tc>
      </w:tr>
      <w:tr w:rsidR="0030359D" w:rsidRPr="00296E53" w14:paraId="733B35A9" w14:textId="77777777" w:rsidTr="0030359D">
        <w:trPr>
          <w:trHeight w:val="20"/>
          <w:jc w:val="center"/>
        </w:trPr>
        <w:tc>
          <w:tcPr>
            <w:tcW w:w="841" w:type="dxa"/>
            <w:shd w:val="clear" w:color="auto" w:fill="F2F2F2" w:themeFill="background1" w:themeFillShade="F2"/>
            <w:noWrap/>
            <w:vAlign w:val="center"/>
            <w:hideMark/>
          </w:tcPr>
          <w:p w14:paraId="6CB08CB1" w14:textId="77777777" w:rsidR="0030359D" w:rsidRPr="00296E53" w:rsidRDefault="0030359D" w:rsidP="0030359D">
            <w:pPr>
              <w:spacing w:beforeLines="20" w:before="48" w:afterLines="20" w:after="48" w:line="240" w:lineRule="auto"/>
              <w:jc w:val="center"/>
              <w:rPr>
                <w:rFonts w:ascii="Century Gothic" w:hAnsi="Century Gothic"/>
                <w:color w:val="000000"/>
                <w:sz w:val="17"/>
                <w:szCs w:val="17"/>
              </w:rPr>
            </w:pPr>
            <w:r w:rsidRPr="00296E53">
              <w:rPr>
                <w:rFonts w:ascii="Century Gothic" w:hAnsi="Century Gothic"/>
                <w:color w:val="000000"/>
                <w:sz w:val="17"/>
                <w:szCs w:val="17"/>
              </w:rPr>
              <w:t>DGEE</w:t>
            </w:r>
          </w:p>
        </w:tc>
        <w:tc>
          <w:tcPr>
            <w:tcW w:w="6349" w:type="dxa"/>
            <w:shd w:val="clear" w:color="auto" w:fill="F2F2F2" w:themeFill="background1" w:themeFillShade="F2"/>
            <w:vAlign w:val="center"/>
            <w:hideMark/>
          </w:tcPr>
          <w:p w14:paraId="4C1263A0" w14:textId="77777777" w:rsidR="0030359D" w:rsidRPr="00296E53" w:rsidRDefault="0030359D" w:rsidP="0030359D">
            <w:pPr>
              <w:spacing w:beforeLines="20" w:before="48" w:afterLines="20" w:after="48" w:line="240" w:lineRule="auto"/>
              <w:rPr>
                <w:rFonts w:ascii="Century Gothic" w:hAnsi="Century Gothic"/>
                <w:color w:val="000000"/>
                <w:sz w:val="17"/>
                <w:szCs w:val="17"/>
              </w:rPr>
            </w:pPr>
            <w:r w:rsidRPr="00296E53">
              <w:rPr>
                <w:rFonts w:ascii="Century Gothic" w:hAnsi="Century Gothic"/>
                <w:color w:val="000000"/>
                <w:sz w:val="17"/>
                <w:szCs w:val="17"/>
              </w:rPr>
              <w:t xml:space="preserve">Estadística de Finanzas Públicas Estatales y Municipales </w:t>
            </w:r>
          </w:p>
        </w:tc>
        <w:tc>
          <w:tcPr>
            <w:tcW w:w="616" w:type="dxa"/>
            <w:shd w:val="clear" w:color="auto" w:fill="F2F2F2" w:themeFill="background1" w:themeFillShade="F2"/>
            <w:vAlign w:val="center"/>
            <w:hideMark/>
          </w:tcPr>
          <w:p w14:paraId="7884DEB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w:t>
            </w:r>
          </w:p>
        </w:tc>
        <w:tc>
          <w:tcPr>
            <w:tcW w:w="616" w:type="dxa"/>
            <w:shd w:val="clear" w:color="auto" w:fill="F2F2F2" w:themeFill="background1" w:themeFillShade="F2"/>
            <w:vAlign w:val="center"/>
          </w:tcPr>
          <w:p w14:paraId="1C621543"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982" w:type="dxa"/>
            <w:shd w:val="clear" w:color="auto" w:fill="FFF2CC" w:themeFill="accent4" w:themeFillTint="33"/>
            <w:vAlign w:val="center"/>
            <w:hideMark/>
          </w:tcPr>
          <w:p w14:paraId="79D6771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82" w:type="dxa"/>
            <w:shd w:val="clear" w:color="auto" w:fill="FFF2CC" w:themeFill="accent4" w:themeFillTint="33"/>
            <w:vAlign w:val="center"/>
          </w:tcPr>
          <w:p w14:paraId="33A39FB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8" w:type="dxa"/>
            <w:shd w:val="clear" w:color="auto" w:fill="FFF2CC" w:themeFill="accent4" w:themeFillTint="33"/>
            <w:vAlign w:val="center"/>
            <w:hideMark/>
          </w:tcPr>
          <w:p w14:paraId="273250B3"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9" w:type="dxa"/>
            <w:shd w:val="clear" w:color="auto" w:fill="FFF2CC" w:themeFill="accent4" w:themeFillTint="33"/>
            <w:vAlign w:val="center"/>
          </w:tcPr>
          <w:p w14:paraId="504E9F1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r>
      <w:tr w:rsidR="0030359D" w:rsidRPr="00296E53" w14:paraId="1F519C07" w14:textId="77777777" w:rsidTr="0030359D">
        <w:trPr>
          <w:trHeight w:val="20"/>
          <w:jc w:val="center"/>
        </w:trPr>
        <w:tc>
          <w:tcPr>
            <w:tcW w:w="841" w:type="dxa"/>
            <w:shd w:val="clear" w:color="auto" w:fill="F2F2F2" w:themeFill="background1" w:themeFillShade="F2"/>
            <w:noWrap/>
            <w:vAlign w:val="center"/>
            <w:hideMark/>
          </w:tcPr>
          <w:p w14:paraId="41868696"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6349" w:type="dxa"/>
            <w:shd w:val="clear" w:color="auto" w:fill="F2F2F2" w:themeFill="background1" w:themeFillShade="F2"/>
            <w:vAlign w:val="center"/>
            <w:hideMark/>
          </w:tcPr>
          <w:p w14:paraId="60E5FB70"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Estadística de Accidentes de Tránsito Terrestre en Zonas Urbanas y Suburbanas</w:t>
            </w:r>
          </w:p>
        </w:tc>
        <w:tc>
          <w:tcPr>
            <w:tcW w:w="616" w:type="dxa"/>
            <w:shd w:val="clear" w:color="auto" w:fill="F2F2F2" w:themeFill="background1" w:themeFillShade="F2"/>
            <w:vAlign w:val="center"/>
            <w:hideMark/>
          </w:tcPr>
          <w:p w14:paraId="71EBD47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616" w:type="dxa"/>
            <w:shd w:val="clear" w:color="auto" w:fill="F2F2F2" w:themeFill="background1" w:themeFillShade="F2"/>
            <w:vAlign w:val="center"/>
          </w:tcPr>
          <w:p w14:paraId="7F4214A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982" w:type="dxa"/>
            <w:shd w:val="clear" w:color="auto" w:fill="FFF2CC" w:themeFill="accent4" w:themeFillTint="33"/>
            <w:vAlign w:val="center"/>
            <w:hideMark/>
          </w:tcPr>
          <w:p w14:paraId="251FDCA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0.3</w:t>
            </w:r>
          </w:p>
        </w:tc>
        <w:tc>
          <w:tcPr>
            <w:tcW w:w="982" w:type="dxa"/>
            <w:shd w:val="clear" w:color="auto" w:fill="FFF2CC" w:themeFill="accent4" w:themeFillTint="33"/>
            <w:vAlign w:val="center"/>
          </w:tcPr>
          <w:p w14:paraId="5261E31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0.87</w:t>
            </w:r>
          </w:p>
        </w:tc>
        <w:tc>
          <w:tcPr>
            <w:tcW w:w="978" w:type="dxa"/>
            <w:shd w:val="clear" w:color="auto" w:fill="FFF2CC" w:themeFill="accent4" w:themeFillTint="33"/>
            <w:vAlign w:val="center"/>
            <w:hideMark/>
          </w:tcPr>
          <w:p w14:paraId="1051C81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0.3</w:t>
            </w:r>
          </w:p>
        </w:tc>
        <w:tc>
          <w:tcPr>
            <w:tcW w:w="979" w:type="dxa"/>
            <w:shd w:val="clear" w:color="auto" w:fill="FFF2CC" w:themeFill="accent4" w:themeFillTint="33"/>
            <w:vAlign w:val="center"/>
          </w:tcPr>
          <w:p w14:paraId="2C74FE6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0.87</w:t>
            </w:r>
          </w:p>
        </w:tc>
      </w:tr>
      <w:tr w:rsidR="0030359D" w:rsidRPr="00296E53" w14:paraId="099B8534" w14:textId="77777777" w:rsidTr="0030359D">
        <w:trPr>
          <w:trHeight w:val="20"/>
          <w:jc w:val="center"/>
        </w:trPr>
        <w:tc>
          <w:tcPr>
            <w:tcW w:w="841" w:type="dxa"/>
            <w:shd w:val="clear" w:color="auto" w:fill="D9D9D9" w:themeFill="background1" w:themeFillShade="D9"/>
            <w:noWrap/>
            <w:vAlign w:val="center"/>
            <w:hideMark/>
          </w:tcPr>
          <w:p w14:paraId="18DB78C2"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6349" w:type="dxa"/>
            <w:shd w:val="clear" w:color="auto" w:fill="D9D9D9" w:themeFill="background1" w:themeFillShade="D9"/>
            <w:vAlign w:val="center"/>
            <w:hideMark/>
          </w:tcPr>
          <w:p w14:paraId="36B47781"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Estadística de Transporte Urbano de Pasajeros</w:t>
            </w:r>
          </w:p>
        </w:tc>
        <w:tc>
          <w:tcPr>
            <w:tcW w:w="616" w:type="dxa"/>
            <w:shd w:val="clear" w:color="auto" w:fill="D9D9D9" w:themeFill="background1" w:themeFillShade="D9"/>
            <w:vAlign w:val="center"/>
            <w:hideMark/>
          </w:tcPr>
          <w:p w14:paraId="44595F3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616" w:type="dxa"/>
            <w:shd w:val="clear" w:color="auto" w:fill="D9D9D9" w:themeFill="background1" w:themeFillShade="D9"/>
            <w:vAlign w:val="center"/>
          </w:tcPr>
          <w:p w14:paraId="33A6822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982" w:type="dxa"/>
            <w:shd w:val="clear" w:color="auto" w:fill="FFE599" w:themeFill="accent4" w:themeFillTint="66"/>
            <w:vAlign w:val="center"/>
            <w:hideMark/>
          </w:tcPr>
          <w:p w14:paraId="15DC8683"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82" w:type="dxa"/>
            <w:shd w:val="clear" w:color="auto" w:fill="FFE599" w:themeFill="accent4" w:themeFillTint="66"/>
            <w:vAlign w:val="center"/>
          </w:tcPr>
          <w:p w14:paraId="48210FBA" w14:textId="6F4379C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0.1</w:t>
            </w:r>
            <w:r w:rsidR="00494D81">
              <w:rPr>
                <w:rFonts w:ascii="Century Gothic" w:hAnsi="Century Gothic" w:cs="Calibri"/>
                <w:color w:val="000000"/>
                <w:sz w:val="17"/>
                <w:szCs w:val="17"/>
              </w:rPr>
              <w:t>6</w:t>
            </w:r>
          </w:p>
        </w:tc>
        <w:tc>
          <w:tcPr>
            <w:tcW w:w="978" w:type="dxa"/>
            <w:shd w:val="clear" w:color="auto" w:fill="FFE599" w:themeFill="accent4" w:themeFillTint="66"/>
            <w:vAlign w:val="center"/>
            <w:hideMark/>
          </w:tcPr>
          <w:p w14:paraId="37653EF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9" w:type="dxa"/>
            <w:shd w:val="clear" w:color="auto" w:fill="FFE599" w:themeFill="accent4" w:themeFillTint="66"/>
            <w:vAlign w:val="center"/>
          </w:tcPr>
          <w:p w14:paraId="422E69B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1.9</w:t>
            </w:r>
          </w:p>
        </w:tc>
      </w:tr>
      <w:tr w:rsidR="0030359D" w:rsidRPr="00296E53" w14:paraId="64E71793" w14:textId="77777777" w:rsidTr="0030359D">
        <w:trPr>
          <w:trHeight w:val="20"/>
          <w:jc w:val="center"/>
        </w:trPr>
        <w:tc>
          <w:tcPr>
            <w:tcW w:w="841" w:type="dxa"/>
            <w:shd w:val="clear" w:color="auto" w:fill="D9D9D9" w:themeFill="background1" w:themeFillShade="D9"/>
            <w:noWrap/>
            <w:vAlign w:val="center"/>
            <w:hideMark/>
          </w:tcPr>
          <w:p w14:paraId="2E51D3F0"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6349" w:type="dxa"/>
            <w:shd w:val="clear" w:color="auto" w:fill="D9D9D9" w:themeFill="background1" w:themeFillShade="D9"/>
            <w:vAlign w:val="center"/>
            <w:hideMark/>
          </w:tcPr>
          <w:p w14:paraId="143C72EF"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 xml:space="preserve">Vehículos de Motor Registrados en Circulación </w:t>
            </w:r>
          </w:p>
        </w:tc>
        <w:tc>
          <w:tcPr>
            <w:tcW w:w="616" w:type="dxa"/>
            <w:shd w:val="clear" w:color="auto" w:fill="D9D9D9" w:themeFill="background1" w:themeFillShade="D9"/>
            <w:vAlign w:val="center"/>
            <w:hideMark/>
          </w:tcPr>
          <w:p w14:paraId="6E11FF0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w:t>
            </w:r>
          </w:p>
        </w:tc>
        <w:tc>
          <w:tcPr>
            <w:tcW w:w="616" w:type="dxa"/>
            <w:shd w:val="clear" w:color="auto" w:fill="D9D9D9" w:themeFill="background1" w:themeFillShade="D9"/>
            <w:vAlign w:val="center"/>
          </w:tcPr>
          <w:p w14:paraId="4370D4C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982" w:type="dxa"/>
            <w:shd w:val="clear" w:color="auto" w:fill="FFE599" w:themeFill="accent4" w:themeFillTint="66"/>
            <w:vAlign w:val="center"/>
            <w:hideMark/>
          </w:tcPr>
          <w:p w14:paraId="5AA0BE0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82" w:type="dxa"/>
            <w:shd w:val="clear" w:color="auto" w:fill="FFE599" w:themeFill="accent4" w:themeFillTint="66"/>
            <w:vAlign w:val="center"/>
          </w:tcPr>
          <w:p w14:paraId="63A6C83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8" w:type="dxa"/>
            <w:shd w:val="clear" w:color="auto" w:fill="FFE599" w:themeFill="accent4" w:themeFillTint="66"/>
            <w:vAlign w:val="center"/>
            <w:hideMark/>
          </w:tcPr>
          <w:p w14:paraId="105ADBB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9" w:type="dxa"/>
            <w:shd w:val="clear" w:color="auto" w:fill="FFE599" w:themeFill="accent4" w:themeFillTint="66"/>
            <w:vAlign w:val="center"/>
          </w:tcPr>
          <w:p w14:paraId="08ACB6A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r>
      <w:tr w:rsidR="0030359D" w:rsidRPr="00296E53" w14:paraId="416D18F0" w14:textId="77777777" w:rsidTr="0030359D">
        <w:trPr>
          <w:trHeight w:val="20"/>
          <w:jc w:val="center"/>
        </w:trPr>
        <w:tc>
          <w:tcPr>
            <w:tcW w:w="841" w:type="dxa"/>
            <w:shd w:val="clear" w:color="auto" w:fill="D9D9D9" w:themeFill="background1" w:themeFillShade="D9"/>
            <w:noWrap/>
            <w:vAlign w:val="center"/>
            <w:hideMark/>
          </w:tcPr>
          <w:p w14:paraId="1080617C"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6349" w:type="dxa"/>
            <w:shd w:val="clear" w:color="auto" w:fill="D9D9D9" w:themeFill="background1" w:themeFillShade="D9"/>
            <w:vAlign w:val="center"/>
            <w:hideMark/>
          </w:tcPr>
          <w:p w14:paraId="282887EC"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Estadística de Sacrificio de Ganado en Rastros Municipales</w:t>
            </w:r>
          </w:p>
        </w:tc>
        <w:tc>
          <w:tcPr>
            <w:tcW w:w="616" w:type="dxa"/>
            <w:shd w:val="clear" w:color="auto" w:fill="D9D9D9" w:themeFill="background1" w:themeFillShade="D9"/>
            <w:vAlign w:val="center"/>
            <w:hideMark/>
          </w:tcPr>
          <w:p w14:paraId="35F3333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616" w:type="dxa"/>
            <w:shd w:val="clear" w:color="auto" w:fill="D9D9D9" w:themeFill="background1" w:themeFillShade="D9"/>
            <w:vAlign w:val="center"/>
          </w:tcPr>
          <w:p w14:paraId="4E008D9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982" w:type="dxa"/>
            <w:shd w:val="clear" w:color="auto" w:fill="FFE599" w:themeFill="accent4" w:themeFillTint="66"/>
            <w:vAlign w:val="center"/>
            <w:hideMark/>
          </w:tcPr>
          <w:p w14:paraId="06448DB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82" w:type="dxa"/>
            <w:shd w:val="clear" w:color="auto" w:fill="FFE599" w:themeFill="accent4" w:themeFillTint="66"/>
            <w:vAlign w:val="center"/>
          </w:tcPr>
          <w:p w14:paraId="0EFD26E8"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8" w:type="dxa"/>
            <w:shd w:val="clear" w:color="auto" w:fill="FFE599" w:themeFill="accent4" w:themeFillTint="66"/>
            <w:vAlign w:val="center"/>
            <w:hideMark/>
          </w:tcPr>
          <w:p w14:paraId="20CA571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9" w:type="dxa"/>
            <w:shd w:val="clear" w:color="auto" w:fill="FFE599" w:themeFill="accent4" w:themeFillTint="66"/>
            <w:vAlign w:val="center"/>
          </w:tcPr>
          <w:p w14:paraId="0D7AF74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r>
      <w:tr w:rsidR="0030359D" w:rsidRPr="00296E53" w14:paraId="345D2E8D" w14:textId="77777777" w:rsidTr="0030359D">
        <w:trPr>
          <w:trHeight w:val="20"/>
          <w:jc w:val="center"/>
        </w:trPr>
        <w:tc>
          <w:tcPr>
            <w:tcW w:w="841" w:type="dxa"/>
            <w:shd w:val="clear" w:color="auto" w:fill="F2F2F2" w:themeFill="background1" w:themeFillShade="F2"/>
            <w:noWrap/>
            <w:vAlign w:val="center"/>
            <w:hideMark/>
          </w:tcPr>
          <w:p w14:paraId="1162873B"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6349" w:type="dxa"/>
            <w:shd w:val="clear" w:color="auto" w:fill="F2F2F2" w:themeFill="background1" w:themeFillShade="F2"/>
            <w:vAlign w:val="center"/>
            <w:hideMark/>
          </w:tcPr>
          <w:p w14:paraId="0BEAA652"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 xml:space="preserve">Estadísticas Vitales. Defunciones Registradas </w:t>
            </w:r>
          </w:p>
        </w:tc>
        <w:tc>
          <w:tcPr>
            <w:tcW w:w="616" w:type="dxa"/>
            <w:shd w:val="clear" w:color="auto" w:fill="F2F2F2" w:themeFill="background1" w:themeFillShade="F2"/>
            <w:vAlign w:val="center"/>
            <w:hideMark/>
          </w:tcPr>
          <w:p w14:paraId="43FB60F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39</w:t>
            </w:r>
          </w:p>
        </w:tc>
        <w:tc>
          <w:tcPr>
            <w:tcW w:w="616" w:type="dxa"/>
            <w:shd w:val="clear" w:color="auto" w:fill="F2F2F2" w:themeFill="background1" w:themeFillShade="F2"/>
            <w:vAlign w:val="center"/>
          </w:tcPr>
          <w:p w14:paraId="1DC4DBD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39</w:t>
            </w:r>
          </w:p>
        </w:tc>
        <w:tc>
          <w:tcPr>
            <w:tcW w:w="982" w:type="dxa"/>
            <w:shd w:val="clear" w:color="auto" w:fill="FFF2CC" w:themeFill="accent4" w:themeFillTint="33"/>
            <w:vAlign w:val="center"/>
            <w:hideMark/>
          </w:tcPr>
          <w:p w14:paraId="2433CD8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3.7</w:t>
            </w:r>
          </w:p>
        </w:tc>
        <w:tc>
          <w:tcPr>
            <w:tcW w:w="982" w:type="dxa"/>
            <w:shd w:val="clear" w:color="auto" w:fill="FFF2CC" w:themeFill="accent4" w:themeFillTint="33"/>
            <w:vAlign w:val="center"/>
          </w:tcPr>
          <w:p w14:paraId="7261AEBA"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6.19</w:t>
            </w:r>
          </w:p>
        </w:tc>
        <w:tc>
          <w:tcPr>
            <w:tcW w:w="978" w:type="dxa"/>
            <w:shd w:val="clear" w:color="auto" w:fill="FFF2CC" w:themeFill="accent4" w:themeFillTint="33"/>
            <w:vAlign w:val="center"/>
            <w:hideMark/>
          </w:tcPr>
          <w:p w14:paraId="28791639"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12.9</w:t>
            </w:r>
          </w:p>
        </w:tc>
        <w:tc>
          <w:tcPr>
            <w:tcW w:w="979" w:type="dxa"/>
            <w:shd w:val="clear" w:color="auto" w:fill="FFF2CC" w:themeFill="accent4" w:themeFillTint="33"/>
            <w:vAlign w:val="center"/>
          </w:tcPr>
          <w:p w14:paraId="48565DE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100</w:t>
            </w:r>
          </w:p>
        </w:tc>
      </w:tr>
      <w:tr w:rsidR="0030359D" w:rsidRPr="00296E53" w14:paraId="16796C0F" w14:textId="77777777" w:rsidTr="0030359D">
        <w:trPr>
          <w:trHeight w:val="20"/>
          <w:jc w:val="center"/>
        </w:trPr>
        <w:tc>
          <w:tcPr>
            <w:tcW w:w="841" w:type="dxa"/>
            <w:shd w:val="clear" w:color="auto" w:fill="F2F2F2" w:themeFill="background1" w:themeFillShade="F2"/>
            <w:noWrap/>
            <w:vAlign w:val="center"/>
          </w:tcPr>
          <w:p w14:paraId="75CFA392" w14:textId="77777777" w:rsidR="0030359D" w:rsidRPr="00296E53" w:rsidRDefault="0030359D" w:rsidP="0030359D">
            <w:pPr>
              <w:spacing w:beforeLines="20" w:before="48" w:afterLines="20" w:after="48" w:line="240" w:lineRule="auto"/>
              <w:jc w:val="center"/>
              <w:rPr>
                <w:rFonts w:ascii="Century Gothic" w:hAnsi="Century Gothic"/>
                <w:color w:val="000000"/>
                <w:sz w:val="17"/>
                <w:szCs w:val="17"/>
              </w:rPr>
            </w:pPr>
            <w:r w:rsidRPr="00296E53">
              <w:rPr>
                <w:rFonts w:ascii="Century Gothic" w:hAnsi="Century Gothic"/>
                <w:color w:val="000000"/>
                <w:sz w:val="17"/>
                <w:szCs w:val="17"/>
              </w:rPr>
              <w:t>DGES</w:t>
            </w:r>
          </w:p>
        </w:tc>
        <w:tc>
          <w:tcPr>
            <w:tcW w:w="6349" w:type="dxa"/>
            <w:shd w:val="clear" w:color="auto" w:fill="F2F2F2" w:themeFill="background1" w:themeFillShade="F2"/>
            <w:vAlign w:val="center"/>
          </w:tcPr>
          <w:p w14:paraId="39C31BC4" w14:textId="77777777" w:rsidR="0030359D" w:rsidRPr="00296E53" w:rsidRDefault="0030359D" w:rsidP="0030359D">
            <w:pPr>
              <w:spacing w:beforeLines="20" w:before="48" w:afterLines="20" w:after="48" w:line="240" w:lineRule="auto"/>
              <w:rPr>
                <w:rFonts w:ascii="Century Gothic" w:hAnsi="Century Gothic"/>
                <w:color w:val="000000"/>
                <w:sz w:val="17"/>
                <w:szCs w:val="17"/>
              </w:rPr>
            </w:pPr>
            <w:r w:rsidRPr="00296E53">
              <w:rPr>
                <w:rFonts w:ascii="Century Gothic" w:hAnsi="Century Gothic"/>
                <w:color w:val="000000"/>
                <w:sz w:val="17"/>
                <w:szCs w:val="17"/>
              </w:rPr>
              <w:t>Estadísticas Vitales. Defunciones fetales</w:t>
            </w:r>
          </w:p>
        </w:tc>
        <w:tc>
          <w:tcPr>
            <w:tcW w:w="616" w:type="dxa"/>
            <w:shd w:val="clear" w:color="auto" w:fill="F2F2F2" w:themeFill="background1" w:themeFillShade="F2"/>
            <w:vAlign w:val="center"/>
          </w:tcPr>
          <w:p w14:paraId="0D0CEE45"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45</w:t>
            </w:r>
          </w:p>
        </w:tc>
        <w:tc>
          <w:tcPr>
            <w:tcW w:w="616" w:type="dxa"/>
            <w:shd w:val="clear" w:color="auto" w:fill="F2F2F2" w:themeFill="background1" w:themeFillShade="F2"/>
            <w:vAlign w:val="center"/>
          </w:tcPr>
          <w:p w14:paraId="441D8C28"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982" w:type="dxa"/>
            <w:shd w:val="clear" w:color="auto" w:fill="FFF2CC" w:themeFill="accent4" w:themeFillTint="33"/>
            <w:vAlign w:val="center"/>
          </w:tcPr>
          <w:p w14:paraId="3C96B21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8.3</w:t>
            </w:r>
          </w:p>
        </w:tc>
        <w:tc>
          <w:tcPr>
            <w:tcW w:w="982" w:type="dxa"/>
            <w:shd w:val="clear" w:color="auto" w:fill="FFF2CC" w:themeFill="accent4" w:themeFillTint="33"/>
            <w:vAlign w:val="center"/>
          </w:tcPr>
          <w:p w14:paraId="7C3C360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978" w:type="dxa"/>
            <w:shd w:val="clear" w:color="auto" w:fill="FFF2CC" w:themeFill="accent4" w:themeFillTint="33"/>
            <w:vAlign w:val="center"/>
          </w:tcPr>
          <w:p w14:paraId="2CF2E5B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69.5</w:t>
            </w:r>
          </w:p>
        </w:tc>
        <w:tc>
          <w:tcPr>
            <w:tcW w:w="979" w:type="dxa"/>
            <w:shd w:val="clear" w:color="auto" w:fill="FFF2CC" w:themeFill="accent4" w:themeFillTint="33"/>
            <w:vAlign w:val="center"/>
          </w:tcPr>
          <w:p w14:paraId="7D64937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r>
      <w:tr w:rsidR="0030359D" w:rsidRPr="00296E53" w14:paraId="04B2445C" w14:textId="77777777" w:rsidTr="0030359D">
        <w:trPr>
          <w:trHeight w:val="20"/>
          <w:jc w:val="center"/>
        </w:trPr>
        <w:tc>
          <w:tcPr>
            <w:tcW w:w="841" w:type="dxa"/>
            <w:shd w:val="clear" w:color="auto" w:fill="F2F2F2" w:themeFill="background1" w:themeFillShade="F2"/>
            <w:noWrap/>
            <w:vAlign w:val="center"/>
          </w:tcPr>
          <w:p w14:paraId="4B3347CD" w14:textId="77777777" w:rsidR="0030359D" w:rsidRPr="00296E53" w:rsidRDefault="0030359D" w:rsidP="0030359D">
            <w:pPr>
              <w:spacing w:beforeLines="20" w:before="48" w:afterLines="20" w:after="48" w:line="240" w:lineRule="auto"/>
              <w:jc w:val="center"/>
              <w:rPr>
                <w:rFonts w:ascii="Century Gothic" w:hAnsi="Century Gothic"/>
                <w:color w:val="000000"/>
                <w:sz w:val="17"/>
                <w:szCs w:val="17"/>
              </w:rPr>
            </w:pPr>
            <w:r w:rsidRPr="00296E53">
              <w:rPr>
                <w:rFonts w:ascii="Century Gothic" w:hAnsi="Century Gothic"/>
                <w:color w:val="000000"/>
                <w:sz w:val="17"/>
                <w:szCs w:val="17"/>
              </w:rPr>
              <w:t>DGES</w:t>
            </w:r>
          </w:p>
        </w:tc>
        <w:tc>
          <w:tcPr>
            <w:tcW w:w="6349" w:type="dxa"/>
            <w:shd w:val="clear" w:color="auto" w:fill="F2F2F2" w:themeFill="background1" w:themeFillShade="F2"/>
            <w:vAlign w:val="center"/>
          </w:tcPr>
          <w:p w14:paraId="095660D6" w14:textId="77777777" w:rsidR="0030359D" w:rsidRPr="00296E53" w:rsidRDefault="0030359D" w:rsidP="0030359D">
            <w:pPr>
              <w:spacing w:beforeLines="20" w:before="48" w:afterLines="20" w:after="48" w:line="240" w:lineRule="auto"/>
              <w:rPr>
                <w:rFonts w:ascii="Century Gothic" w:hAnsi="Century Gothic"/>
                <w:color w:val="000000"/>
                <w:sz w:val="17"/>
                <w:szCs w:val="17"/>
              </w:rPr>
            </w:pPr>
            <w:r w:rsidRPr="00296E53">
              <w:rPr>
                <w:rFonts w:ascii="Century Gothic" w:hAnsi="Century Gothic"/>
                <w:color w:val="000000"/>
                <w:sz w:val="17"/>
                <w:szCs w:val="17"/>
              </w:rPr>
              <w:t>Estadísticas Vitales. Nacimientos registrados</w:t>
            </w:r>
          </w:p>
        </w:tc>
        <w:tc>
          <w:tcPr>
            <w:tcW w:w="616" w:type="dxa"/>
            <w:shd w:val="clear" w:color="auto" w:fill="F2F2F2" w:themeFill="background1" w:themeFillShade="F2"/>
            <w:vAlign w:val="center"/>
          </w:tcPr>
          <w:p w14:paraId="51CDB1A8"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34</w:t>
            </w:r>
          </w:p>
        </w:tc>
        <w:tc>
          <w:tcPr>
            <w:tcW w:w="616" w:type="dxa"/>
            <w:shd w:val="clear" w:color="auto" w:fill="F2F2F2" w:themeFill="background1" w:themeFillShade="F2"/>
            <w:vAlign w:val="center"/>
          </w:tcPr>
          <w:p w14:paraId="5B25518C"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982" w:type="dxa"/>
            <w:shd w:val="clear" w:color="auto" w:fill="FFF2CC" w:themeFill="accent4" w:themeFillTint="33"/>
            <w:vAlign w:val="center"/>
          </w:tcPr>
          <w:p w14:paraId="41B647B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7.3</w:t>
            </w:r>
          </w:p>
        </w:tc>
        <w:tc>
          <w:tcPr>
            <w:tcW w:w="982" w:type="dxa"/>
            <w:shd w:val="clear" w:color="auto" w:fill="FFF2CC" w:themeFill="accent4" w:themeFillTint="33"/>
            <w:vAlign w:val="center"/>
          </w:tcPr>
          <w:p w14:paraId="08E9375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978" w:type="dxa"/>
            <w:shd w:val="clear" w:color="auto" w:fill="FFF2CC" w:themeFill="accent4" w:themeFillTint="33"/>
            <w:vAlign w:val="center"/>
          </w:tcPr>
          <w:p w14:paraId="75FD60A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78.11</w:t>
            </w:r>
          </w:p>
        </w:tc>
        <w:tc>
          <w:tcPr>
            <w:tcW w:w="979" w:type="dxa"/>
            <w:shd w:val="clear" w:color="auto" w:fill="FFF2CC" w:themeFill="accent4" w:themeFillTint="33"/>
            <w:vAlign w:val="center"/>
          </w:tcPr>
          <w:p w14:paraId="14726C5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r>
      <w:tr w:rsidR="0030359D" w:rsidRPr="00296E53" w14:paraId="19C3B89D" w14:textId="77777777" w:rsidTr="0030359D">
        <w:trPr>
          <w:trHeight w:val="20"/>
          <w:jc w:val="center"/>
        </w:trPr>
        <w:tc>
          <w:tcPr>
            <w:tcW w:w="841" w:type="dxa"/>
            <w:shd w:val="clear" w:color="auto" w:fill="F2F2F2" w:themeFill="background1" w:themeFillShade="F2"/>
            <w:noWrap/>
            <w:vAlign w:val="center"/>
            <w:hideMark/>
          </w:tcPr>
          <w:p w14:paraId="45F5243C"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6349" w:type="dxa"/>
            <w:shd w:val="clear" w:color="auto" w:fill="F2F2F2" w:themeFill="background1" w:themeFillShade="F2"/>
            <w:vAlign w:val="center"/>
            <w:hideMark/>
          </w:tcPr>
          <w:p w14:paraId="687BEF15"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Estadísticas Vitales. Matrimonios</w:t>
            </w:r>
          </w:p>
        </w:tc>
        <w:tc>
          <w:tcPr>
            <w:tcW w:w="616" w:type="dxa"/>
            <w:shd w:val="clear" w:color="auto" w:fill="F2F2F2" w:themeFill="background1" w:themeFillShade="F2"/>
            <w:vAlign w:val="center"/>
            <w:hideMark/>
          </w:tcPr>
          <w:p w14:paraId="758FD7E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18</w:t>
            </w:r>
          </w:p>
        </w:tc>
        <w:tc>
          <w:tcPr>
            <w:tcW w:w="616" w:type="dxa"/>
            <w:shd w:val="clear" w:color="auto" w:fill="F2F2F2" w:themeFill="background1" w:themeFillShade="F2"/>
            <w:vAlign w:val="center"/>
          </w:tcPr>
          <w:p w14:paraId="2A5BEDD4"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18</w:t>
            </w:r>
          </w:p>
        </w:tc>
        <w:tc>
          <w:tcPr>
            <w:tcW w:w="982" w:type="dxa"/>
            <w:shd w:val="clear" w:color="auto" w:fill="FFF2CC" w:themeFill="accent4" w:themeFillTint="33"/>
            <w:vAlign w:val="center"/>
            <w:hideMark/>
          </w:tcPr>
          <w:p w14:paraId="23BF9730"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7.2</w:t>
            </w:r>
          </w:p>
        </w:tc>
        <w:tc>
          <w:tcPr>
            <w:tcW w:w="982" w:type="dxa"/>
            <w:shd w:val="clear" w:color="auto" w:fill="FFF2CC" w:themeFill="accent4" w:themeFillTint="33"/>
            <w:vAlign w:val="center"/>
          </w:tcPr>
          <w:p w14:paraId="0817D69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7.1</w:t>
            </w:r>
          </w:p>
        </w:tc>
        <w:tc>
          <w:tcPr>
            <w:tcW w:w="978" w:type="dxa"/>
            <w:shd w:val="clear" w:color="auto" w:fill="FFF2CC" w:themeFill="accent4" w:themeFillTint="33"/>
            <w:vAlign w:val="center"/>
            <w:hideMark/>
          </w:tcPr>
          <w:p w14:paraId="15913E7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56.4</w:t>
            </w:r>
          </w:p>
        </w:tc>
        <w:tc>
          <w:tcPr>
            <w:tcW w:w="979" w:type="dxa"/>
            <w:shd w:val="clear" w:color="auto" w:fill="FFF2CC" w:themeFill="accent4" w:themeFillTint="33"/>
            <w:vAlign w:val="center"/>
          </w:tcPr>
          <w:p w14:paraId="0017527A"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100</w:t>
            </w:r>
          </w:p>
        </w:tc>
      </w:tr>
      <w:tr w:rsidR="0030359D" w:rsidRPr="00296E53" w14:paraId="09E42A05" w14:textId="77777777" w:rsidTr="0030359D">
        <w:trPr>
          <w:trHeight w:val="20"/>
          <w:jc w:val="center"/>
        </w:trPr>
        <w:tc>
          <w:tcPr>
            <w:tcW w:w="841" w:type="dxa"/>
            <w:shd w:val="clear" w:color="auto" w:fill="F2F2F2" w:themeFill="background1" w:themeFillShade="F2"/>
            <w:noWrap/>
            <w:vAlign w:val="center"/>
            <w:hideMark/>
          </w:tcPr>
          <w:p w14:paraId="048E0B8C"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6349" w:type="dxa"/>
            <w:shd w:val="clear" w:color="auto" w:fill="F2F2F2" w:themeFill="background1" w:themeFillShade="F2"/>
            <w:vAlign w:val="center"/>
            <w:hideMark/>
          </w:tcPr>
          <w:p w14:paraId="585DB6F2"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 xml:space="preserve">Estadísticas Vitales. Divorcios </w:t>
            </w:r>
          </w:p>
        </w:tc>
        <w:tc>
          <w:tcPr>
            <w:tcW w:w="616" w:type="dxa"/>
            <w:shd w:val="clear" w:color="auto" w:fill="F2F2F2" w:themeFill="background1" w:themeFillShade="F2"/>
            <w:vAlign w:val="center"/>
            <w:hideMark/>
          </w:tcPr>
          <w:p w14:paraId="1E403555"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54</w:t>
            </w:r>
          </w:p>
        </w:tc>
        <w:tc>
          <w:tcPr>
            <w:tcW w:w="616" w:type="dxa"/>
            <w:shd w:val="clear" w:color="auto" w:fill="F2F2F2" w:themeFill="background1" w:themeFillShade="F2"/>
            <w:vAlign w:val="center"/>
          </w:tcPr>
          <w:p w14:paraId="204AAFDC"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54</w:t>
            </w:r>
          </w:p>
        </w:tc>
        <w:tc>
          <w:tcPr>
            <w:tcW w:w="982" w:type="dxa"/>
            <w:shd w:val="clear" w:color="auto" w:fill="FFF2CC" w:themeFill="accent4" w:themeFillTint="33"/>
            <w:vAlign w:val="center"/>
            <w:hideMark/>
          </w:tcPr>
          <w:p w14:paraId="6C49445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7.0</w:t>
            </w:r>
          </w:p>
        </w:tc>
        <w:tc>
          <w:tcPr>
            <w:tcW w:w="982" w:type="dxa"/>
            <w:shd w:val="clear" w:color="auto" w:fill="FFF2CC" w:themeFill="accent4" w:themeFillTint="33"/>
            <w:vAlign w:val="center"/>
          </w:tcPr>
          <w:p w14:paraId="51CEB68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7.7</w:t>
            </w:r>
          </w:p>
        </w:tc>
        <w:tc>
          <w:tcPr>
            <w:tcW w:w="978" w:type="dxa"/>
            <w:shd w:val="clear" w:color="auto" w:fill="FFF2CC" w:themeFill="accent4" w:themeFillTint="33"/>
            <w:vAlign w:val="center"/>
            <w:hideMark/>
          </w:tcPr>
          <w:p w14:paraId="023C866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44.0</w:t>
            </w:r>
          </w:p>
        </w:tc>
        <w:tc>
          <w:tcPr>
            <w:tcW w:w="979" w:type="dxa"/>
            <w:shd w:val="clear" w:color="auto" w:fill="FFF2CC" w:themeFill="accent4" w:themeFillTint="33"/>
            <w:vAlign w:val="center"/>
          </w:tcPr>
          <w:p w14:paraId="66FCC37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90.2</w:t>
            </w:r>
          </w:p>
        </w:tc>
      </w:tr>
      <w:tr w:rsidR="0030359D" w:rsidRPr="00296E53" w14:paraId="667CF293" w14:textId="77777777" w:rsidTr="0030359D">
        <w:trPr>
          <w:trHeight w:val="20"/>
          <w:jc w:val="center"/>
        </w:trPr>
        <w:tc>
          <w:tcPr>
            <w:tcW w:w="841" w:type="dxa"/>
            <w:shd w:val="clear" w:color="auto" w:fill="D9D9D9" w:themeFill="background1" w:themeFillShade="D9"/>
            <w:noWrap/>
            <w:vAlign w:val="center"/>
            <w:hideMark/>
          </w:tcPr>
          <w:p w14:paraId="112CAE41"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6349" w:type="dxa"/>
            <w:shd w:val="clear" w:color="auto" w:fill="D9D9D9" w:themeFill="background1" w:themeFillShade="D9"/>
            <w:vAlign w:val="center"/>
            <w:hideMark/>
          </w:tcPr>
          <w:p w14:paraId="7A259C12"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 xml:space="preserve">Estadísticas de Salud en Establecimientos Particulares </w:t>
            </w:r>
          </w:p>
        </w:tc>
        <w:tc>
          <w:tcPr>
            <w:tcW w:w="616" w:type="dxa"/>
            <w:shd w:val="clear" w:color="auto" w:fill="D9D9D9" w:themeFill="background1" w:themeFillShade="D9"/>
            <w:vAlign w:val="center"/>
            <w:hideMark/>
          </w:tcPr>
          <w:p w14:paraId="0FE1620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D9D9D9" w:themeFill="background1" w:themeFillShade="D9"/>
            <w:vAlign w:val="center"/>
          </w:tcPr>
          <w:p w14:paraId="547AEB14"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roofErr w:type="spellStart"/>
            <w:proofErr w:type="gramStart"/>
            <w:r w:rsidRPr="00296E53">
              <w:rPr>
                <w:rFonts w:ascii="Century Gothic" w:hAnsi="Century Gothic" w:cs="Calibri"/>
                <w:color w:val="000000"/>
                <w:sz w:val="17"/>
                <w:szCs w:val="17"/>
              </w:rPr>
              <w:t>n.a</w:t>
            </w:r>
            <w:proofErr w:type="spellEnd"/>
            <w:proofErr w:type="gramEnd"/>
          </w:p>
        </w:tc>
        <w:tc>
          <w:tcPr>
            <w:tcW w:w="982" w:type="dxa"/>
            <w:shd w:val="clear" w:color="auto" w:fill="FFE599" w:themeFill="accent4" w:themeFillTint="66"/>
            <w:vAlign w:val="center"/>
            <w:hideMark/>
          </w:tcPr>
          <w:p w14:paraId="0A99491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982" w:type="dxa"/>
            <w:shd w:val="clear" w:color="auto" w:fill="FFE599" w:themeFill="accent4" w:themeFillTint="66"/>
            <w:vAlign w:val="center"/>
          </w:tcPr>
          <w:p w14:paraId="3596B820"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8" w:type="dxa"/>
            <w:shd w:val="clear" w:color="auto" w:fill="FFE599" w:themeFill="accent4" w:themeFillTint="66"/>
            <w:vAlign w:val="center"/>
            <w:hideMark/>
          </w:tcPr>
          <w:p w14:paraId="72226E40"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979" w:type="dxa"/>
            <w:shd w:val="clear" w:color="auto" w:fill="FFE599" w:themeFill="accent4" w:themeFillTint="66"/>
            <w:vAlign w:val="center"/>
          </w:tcPr>
          <w:p w14:paraId="2DEC8A28"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r>
      <w:tr w:rsidR="0030359D" w:rsidRPr="00296E53" w14:paraId="1377D161" w14:textId="77777777" w:rsidTr="0030359D">
        <w:trPr>
          <w:trHeight w:val="20"/>
          <w:jc w:val="center"/>
        </w:trPr>
        <w:tc>
          <w:tcPr>
            <w:tcW w:w="841" w:type="dxa"/>
            <w:shd w:val="clear" w:color="auto" w:fill="D9D9D9" w:themeFill="background1" w:themeFillShade="D9"/>
            <w:noWrap/>
            <w:vAlign w:val="center"/>
            <w:hideMark/>
          </w:tcPr>
          <w:p w14:paraId="6272EDA2"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6349" w:type="dxa"/>
            <w:shd w:val="clear" w:color="auto" w:fill="D9D9D9" w:themeFill="background1" w:themeFillShade="D9"/>
            <w:vAlign w:val="center"/>
            <w:hideMark/>
          </w:tcPr>
          <w:p w14:paraId="6E133FD5"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 xml:space="preserve">Estadística de museos </w:t>
            </w:r>
          </w:p>
        </w:tc>
        <w:tc>
          <w:tcPr>
            <w:tcW w:w="616" w:type="dxa"/>
            <w:shd w:val="clear" w:color="auto" w:fill="D9D9D9" w:themeFill="background1" w:themeFillShade="D9"/>
            <w:vAlign w:val="center"/>
            <w:hideMark/>
          </w:tcPr>
          <w:p w14:paraId="7384C25D"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 xml:space="preserve"> -</w:t>
            </w:r>
          </w:p>
        </w:tc>
        <w:tc>
          <w:tcPr>
            <w:tcW w:w="616" w:type="dxa"/>
            <w:shd w:val="clear" w:color="auto" w:fill="D9D9D9" w:themeFill="background1" w:themeFillShade="D9"/>
            <w:vAlign w:val="center"/>
          </w:tcPr>
          <w:p w14:paraId="472170E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23</w:t>
            </w:r>
          </w:p>
        </w:tc>
        <w:tc>
          <w:tcPr>
            <w:tcW w:w="982" w:type="dxa"/>
            <w:shd w:val="clear" w:color="auto" w:fill="FFE599" w:themeFill="accent4" w:themeFillTint="66"/>
            <w:vAlign w:val="center"/>
            <w:hideMark/>
          </w:tcPr>
          <w:p w14:paraId="68F454C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 xml:space="preserve">- </w:t>
            </w:r>
          </w:p>
        </w:tc>
        <w:tc>
          <w:tcPr>
            <w:tcW w:w="982" w:type="dxa"/>
            <w:shd w:val="clear" w:color="auto" w:fill="FFE599" w:themeFill="accent4" w:themeFillTint="66"/>
            <w:vAlign w:val="center"/>
          </w:tcPr>
          <w:p w14:paraId="00647B5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0.34</w:t>
            </w:r>
          </w:p>
        </w:tc>
        <w:tc>
          <w:tcPr>
            <w:tcW w:w="978" w:type="dxa"/>
            <w:shd w:val="clear" w:color="auto" w:fill="FFE599" w:themeFill="accent4" w:themeFillTint="66"/>
            <w:vAlign w:val="center"/>
            <w:hideMark/>
          </w:tcPr>
          <w:p w14:paraId="29DC321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 xml:space="preserve">- </w:t>
            </w:r>
          </w:p>
        </w:tc>
        <w:tc>
          <w:tcPr>
            <w:tcW w:w="979" w:type="dxa"/>
            <w:shd w:val="clear" w:color="auto" w:fill="FFE599" w:themeFill="accent4" w:themeFillTint="66"/>
            <w:vAlign w:val="center"/>
          </w:tcPr>
          <w:p w14:paraId="7F7A576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9.09</w:t>
            </w:r>
          </w:p>
        </w:tc>
      </w:tr>
      <w:tr w:rsidR="0030359D" w:rsidRPr="00296E53" w14:paraId="4B65B7D5" w14:textId="77777777" w:rsidTr="00866E20">
        <w:trPr>
          <w:trHeight w:val="20"/>
          <w:jc w:val="center"/>
        </w:trPr>
        <w:tc>
          <w:tcPr>
            <w:tcW w:w="841" w:type="dxa"/>
            <w:vMerge w:val="restart"/>
            <w:shd w:val="clear" w:color="auto" w:fill="F2F2F2" w:themeFill="background1" w:themeFillShade="F2"/>
            <w:noWrap/>
            <w:vAlign w:val="center"/>
            <w:hideMark/>
          </w:tcPr>
          <w:p w14:paraId="76A82A4F" w14:textId="77777777" w:rsidR="0030359D" w:rsidRPr="00296E53" w:rsidRDefault="0030359D" w:rsidP="0030359D">
            <w:pPr>
              <w:spacing w:beforeLines="20" w:before="48" w:afterLines="20" w:after="48" w:line="240" w:lineRule="auto"/>
              <w:jc w:val="center"/>
              <w:rPr>
                <w:rFonts w:ascii="Century Gothic" w:hAnsi="Century Gothic"/>
                <w:color w:val="000000"/>
                <w:sz w:val="17"/>
                <w:szCs w:val="17"/>
              </w:rPr>
            </w:pPr>
            <w:r w:rsidRPr="00296E53">
              <w:rPr>
                <w:rFonts w:ascii="Century Gothic" w:hAnsi="Century Gothic"/>
                <w:color w:val="000000"/>
                <w:sz w:val="17"/>
                <w:szCs w:val="17"/>
              </w:rPr>
              <w:t>DGES</w:t>
            </w:r>
          </w:p>
        </w:tc>
        <w:tc>
          <w:tcPr>
            <w:tcW w:w="11502" w:type="dxa"/>
            <w:gridSpan w:val="7"/>
            <w:shd w:val="clear" w:color="auto" w:fill="F2F2F2" w:themeFill="background1" w:themeFillShade="F2"/>
            <w:vAlign w:val="center"/>
            <w:hideMark/>
          </w:tcPr>
          <w:p w14:paraId="2C6C221F" w14:textId="7315B214" w:rsidR="0030359D" w:rsidRPr="00296E53" w:rsidRDefault="0030359D" w:rsidP="00915E45">
            <w:pPr>
              <w:spacing w:beforeLines="20" w:before="48" w:afterLines="20" w:after="48" w:line="240" w:lineRule="auto"/>
              <w:rPr>
                <w:rFonts w:ascii="Century Gothic" w:hAnsi="Century Gothic" w:cs="Calibri"/>
                <w:color w:val="FF0000"/>
                <w:sz w:val="17"/>
                <w:szCs w:val="17"/>
              </w:rPr>
            </w:pPr>
            <w:r w:rsidRPr="00296E53">
              <w:rPr>
                <w:rFonts w:ascii="Century Gothic" w:hAnsi="Century Gothic"/>
                <w:color w:val="000000"/>
                <w:sz w:val="17"/>
                <w:szCs w:val="17"/>
              </w:rPr>
              <w:t>Estad</w:t>
            </w:r>
            <w:r w:rsidR="00915E45" w:rsidRPr="00296E53">
              <w:rPr>
                <w:rFonts w:ascii="Century Gothic" w:hAnsi="Century Gothic"/>
                <w:color w:val="000000"/>
                <w:sz w:val="17"/>
                <w:szCs w:val="17"/>
              </w:rPr>
              <w:t>í</w:t>
            </w:r>
            <w:r w:rsidRPr="00296E53">
              <w:rPr>
                <w:rFonts w:ascii="Century Gothic" w:hAnsi="Century Gothic"/>
                <w:color w:val="000000"/>
                <w:sz w:val="17"/>
                <w:szCs w:val="17"/>
              </w:rPr>
              <w:t>sticas de relaciones laborales de jurisdicción local:</w:t>
            </w:r>
          </w:p>
        </w:tc>
      </w:tr>
      <w:tr w:rsidR="0030359D" w:rsidRPr="00296E53" w14:paraId="3828235D" w14:textId="77777777" w:rsidTr="00866E20">
        <w:trPr>
          <w:trHeight w:val="315"/>
          <w:jc w:val="center"/>
        </w:trPr>
        <w:tc>
          <w:tcPr>
            <w:tcW w:w="841" w:type="dxa"/>
            <w:vMerge/>
            <w:shd w:val="clear" w:color="auto" w:fill="F2F2F2" w:themeFill="background1" w:themeFillShade="F2"/>
            <w:noWrap/>
            <w:vAlign w:val="center"/>
          </w:tcPr>
          <w:p w14:paraId="184A458A"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745A8CD5"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Conflictos colectivos de trabajo</w:t>
            </w:r>
          </w:p>
        </w:tc>
        <w:tc>
          <w:tcPr>
            <w:tcW w:w="616" w:type="dxa"/>
            <w:shd w:val="clear" w:color="auto" w:fill="F2F2F2" w:themeFill="background1" w:themeFillShade="F2"/>
            <w:vAlign w:val="center"/>
          </w:tcPr>
          <w:p w14:paraId="50D9AF14"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4A1E7B1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11</w:t>
            </w:r>
          </w:p>
        </w:tc>
        <w:tc>
          <w:tcPr>
            <w:tcW w:w="982" w:type="dxa"/>
            <w:shd w:val="clear" w:color="auto" w:fill="FFF2CC" w:themeFill="accent4" w:themeFillTint="33"/>
            <w:vAlign w:val="center"/>
          </w:tcPr>
          <w:p w14:paraId="0E64FF9E"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53AF1734"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12.95</w:t>
            </w:r>
          </w:p>
        </w:tc>
        <w:tc>
          <w:tcPr>
            <w:tcW w:w="978" w:type="dxa"/>
            <w:shd w:val="clear" w:color="auto" w:fill="FFF2CC" w:themeFill="accent4" w:themeFillTint="33"/>
            <w:vAlign w:val="center"/>
          </w:tcPr>
          <w:p w14:paraId="7F1A18AD"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w:t>
            </w:r>
          </w:p>
        </w:tc>
        <w:tc>
          <w:tcPr>
            <w:tcW w:w="979" w:type="dxa"/>
            <w:shd w:val="clear" w:color="auto" w:fill="FFF2CC" w:themeFill="accent4" w:themeFillTint="33"/>
            <w:vAlign w:val="center"/>
          </w:tcPr>
          <w:p w14:paraId="2731AF8B"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100</w:t>
            </w:r>
          </w:p>
        </w:tc>
      </w:tr>
      <w:tr w:rsidR="0030359D" w:rsidRPr="00296E53" w14:paraId="45F56171" w14:textId="77777777" w:rsidTr="00866E20">
        <w:trPr>
          <w:trHeight w:val="374"/>
          <w:jc w:val="center"/>
        </w:trPr>
        <w:tc>
          <w:tcPr>
            <w:tcW w:w="841" w:type="dxa"/>
            <w:vMerge/>
            <w:shd w:val="clear" w:color="auto" w:fill="F2F2F2" w:themeFill="background1" w:themeFillShade="F2"/>
            <w:noWrap/>
            <w:vAlign w:val="center"/>
          </w:tcPr>
          <w:p w14:paraId="76E185A4"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44D0E322"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Conflictos de trabajo solucionados</w:t>
            </w:r>
          </w:p>
        </w:tc>
        <w:tc>
          <w:tcPr>
            <w:tcW w:w="616" w:type="dxa"/>
            <w:shd w:val="clear" w:color="auto" w:fill="F2F2F2" w:themeFill="background1" w:themeFillShade="F2"/>
            <w:vAlign w:val="center"/>
          </w:tcPr>
          <w:p w14:paraId="1CA66140"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35ED9C2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13</w:t>
            </w:r>
          </w:p>
        </w:tc>
        <w:tc>
          <w:tcPr>
            <w:tcW w:w="982" w:type="dxa"/>
            <w:shd w:val="clear" w:color="auto" w:fill="FFF2CC" w:themeFill="accent4" w:themeFillTint="33"/>
            <w:vAlign w:val="center"/>
          </w:tcPr>
          <w:p w14:paraId="778D78EF" w14:textId="77777777" w:rsidR="0030359D" w:rsidRPr="00296E53" w:rsidRDefault="0030359D" w:rsidP="0030359D">
            <w:pPr>
              <w:spacing w:beforeLines="20" w:before="48" w:afterLines="20" w:after="48" w:line="240" w:lineRule="auto"/>
              <w:jc w:val="center"/>
              <w:rPr>
                <w:rFonts w:ascii="Century Gothic" w:hAnsi="Century Gothic" w:cs="Calibri"/>
                <w:color w:val="FF0000"/>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09655C11" w14:textId="77777777" w:rsidR="0030359D" w:rsidRPr="00296E53" w:rsidRDefault="0030359D" w:rsidP="0030359D">
            <w:pPr>
              <w:spacing w:beforeLines="20" w:before="48" w:afterLines="20" w:after="48" w:line="240" w:lineRule="auto"/>
              <w:jc w:val="center"/>
              <w:rPr>
                <w:rFonts w:ascii="Century Gothic" w:hAnsi="Century Gothic" w:cs="Calibri"/>
                <w:color w:val="FF0000"/>
                <w:sz w:val="17"/>
                <w:szCs w:val="17"/>
              </w:rPr>
            </w:pPr>
            <w:r w:rsidRPr="00296E53">
              <w:rPr>
                <w:rFonts w:ascii="Century Gothic" w:hAnsi="Century Gothic" w:cs="Calibri"/>
                <w:sz w:val="17"/>
                <w:szCs w:val="17"/>
              </w:rPr>
              <w:t>7.41</w:t>
            </w:r>
          </w:p>
        </w:tc>
        <w:tc>
          <w:tcPr>
            <w:tcW w:w="978" w:type="dxa"/>
            <w:shd w:val="clear" w:color="auto" w:fill="FFF2CC" w:themeFill="accent4" w:themeFillTint="33"/>
            <w:vAlign w:val="center"/>
          </w:tcPr>
          <w:p w14:paraId="1089B9BE" w14:textId="77777777" w:rsidR="0030359D" w:rsidRPr="00296E53" w:rsidRDefault="0030359D" w:rsidP="0030359D">
            <w:pPr>
              <w:spacing w:beforeLines="20" w:before="48" w:afterLines="20" w:after="48" w:line="240" w:lineRule="auto"/>
              <w:jc w:val="center"/>
              <w:rPr>
                <w:rFonts w:ascii="Century Gothic" w:hAnsi="Century Gothic" w:cs="Calibri"/>
                <w:color w:val="FF0000"/>
                <w:sz w:val="17"/>
                <w:szCs w:val="17"/>
              </w:rPr>
            </w:pPr>
            <w:r w:rsidRPr="00296E53">
              <w:rPr>
                <w:rFonts w:ascii="Century Gothic" w:hAnsi="Century Gothic" w:cs="Calibri"/>
                <w:color w:val="FF0000"/>
                <w:sz w:val="17"/>
                <w:szCs w:val="17"/>
              </w:rPr>
              <w:t>-</w:t>
            </w:r>
          </w:p>
        </w:tc>
        <w:tc>
          <w:tcPr>
            <w:tcW w:w="979" w:type="dxa"/>
            <w:shd w:val="clear" w:color="auto" w:fill="FFF2CC" w:themeFill="accent4" w:themeFillTint="33"/>
            <w:vAlign w:val="center"/>
          </w:tcPr>
          <w:p w14:paraId="0EA75F08" w14:textId="77777777" w:rsidR="0030359D" w:rsidRPr="00296E53" w:rsidRDefault="0030359D" w:rsidP="0030359D">
            <w:pPr>
              <w:spacing w:beforeLines="20" w:before="48" w:afterLines="20" w:after="48" w:line="240" w:lineRule="auto"/>
              <w:jc w:val="center"/>
              <w:rPr>
                <w:rFonts w:ascii="Century Gothic" w:hAnsi="Century Gothic" w:cs="Calibri"/>
                <w:color w:val="FF0000"/>
                <w:sz w:val="17"/>
                <w:szCs w:val="17"/>
              </w:rPr>
            </w:pPr>
            <w:r w:rsidRPr="00296E53">
              <w:rPr>
                <w:rFonts w:ascii="Century Gothic" w:hAnsi="Century Gothic" w:cs="Calibri"/>
                <w:sz w:val="17"/>
                <w:szCs w:val="17"/>
              </w:rPr>
              <w:t>100</w:t>
            </w:r>
          </w:p>
        </w:tc>
      </w:tr>
      <w:tr w:rsidR="0030359D" w:rsidRPr="00296E53" w14:paraId="124D0F4B" w14:textId="77777777" w:rsidTr="00866E20">
        <w:trPr>
          <w:trHeight w:val="20"/>
          <w:jc w:val="center"/>
        </w:trPr>
        <w:tc>
          <w:tcPr>
            <w:tcW w:w="841" w:type="dxa"/>
            <w:vMerge/>
            <w:shd w:val="clear" w:color="auto" w:fill="F2F2F2" w:themeFill="background1" w:themeFillShade="F2"/>
            <w:noWrap/>
            <w:vAlign w:val="center"/>
          </w:tcPr>
          <w:p w14:paraId="71A7F3F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5347CC68"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Convenios de trabajo fuera de juicio</w:t>
            </w:r>
          </w:p>
        </w:tc>
        <w:tc>
          <w:tcPr>
            <w:tcW w:w="616" w:type="dxa"/>
            <w:shd w:val="clear" w:color="auto" w:fill="F2F2F2" w:themeFill="background1" w:themeFillShade="F2"/>
            <w:vAlign w:val="center"/>
          </w:tcPr>
          <w:p w14:paraId="0479A51A"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49BF787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11</w:t>
            </w:r>
          </w:p>
        </w:tc>
        <w:tc>
          <w:tcPr>
            <w:tcW w:w="982" w:type="dxa"/>
            <w:shd w:val="clear" w:color="auto" w:fill="FFF2CC" w:themeFill="accent4" w:themeFillTint="33"/>
            <w:vAlign w:val="center"/>
          </w:tcPr>
          <w:p w14:paraId="517D328A"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4B08B2A5"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3.07</w:t>
            </w:r>
          </w:p>
        </w:tc>
        <w:tc>
          <w:tcPr>
            <w:tcW w:w="978" w:type="dxa"/>
            <w:shd w:val="clear" w:color="auto" w:fill="FFF2CC" w:themeFill="accent4" w:themeFillTint="33"/>
            <w:vAlign w:val="center"/>
          </w:tcPr>
          <w:p w14:paraId="27BA4DF7"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w:t>
            </w:r>
          </w:p>
        </w:tc>
        <w:tc>
          <w:tcPr>
            <w:tcW w:w="979" w:type="dxa"/>
            <w:shd w:val="clear" w:color="auto" w:fill="FFF2CC" w:themeFill="accent4" w:themeFillTint="33"/>
            <w:vAlign w:val="center"/>
          </w:tcPr>
          <w:p w14:paraId="314DD765"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100</w:t>
            </w:r>
          </w:p>
        </w:tc>
      </w:tr>
      <w:tr w:rsidR="0030359D" w:rsidRPr="00296E53" w14:paraId="7CEE3BAC" w14:textId="77777777" w:rsidTr="00866E20">
        <w:trPr>
          <w:trHeight w:val="20"/>
          <w:jc w:val="center"/>
        </w:trPr>
        <w:tc>
          <w:tcPr>
            <w:tcW w:w="841" w:type="dxa"/>
            <w:vMerge/>
            <w:shd w:val="clear" w:color="auto" w:fill="F2F2F2" w:themeFill="background1" w:themeFillShade="F2"/>
            <w:noWrap/>
            <w:vAlign w:val="center"/>
          </w:tcPr>
          <w:p w14:paraId="31505C4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72F1EEAE"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Emplazamientos a huelga</w:t>
            </w:r>
          </w:p>
        </w:tc>
        <w:tc>
          <w:tcPr>
            <w:tcW w:w="616" w:type="dxa"/>
            <w:shd w:val="clear" w:color="auto" w:fill="F2F2F2" w:themeFill="background1" w:themeFillShade="F2"/>
            <w:vAlign w:val="center"/>
          </w:tcPr>
          <w:p w14:paraId="465E7AF4"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319FB24A"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11</w:t>
            </w:r>
          </w:p>
        </w:tc>
        <w:tc>
          <w:tcPr>
            <w:tcW w:w="982" w:type="dxa"/>
            <w:shd w:val="clear" w:color="auto" w:fill="FFF2CC" w:themeFill="accent4" w:themeFillTint="33"/>
            <w:vAlign w:val="center"/>
          </w:tcPr>
          <w:p w14:paraId="56879DF1"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2BC31752"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19.89</w:t>
            </w:r>
          </w:p>
        </w:tc>
        <w:tc>
          <w:tcPr>
            <w:tcW w:w="978" w:type="dxa"/>
            <w:shd w:val="clear" w:color="auto" w:fill="FFF2CC" w:themeFill="accent4" w:themeFillTint="33"/>
            <w:vAlign w:val="center"/>
          </w:tcPr>
          <w:p w14:paraId="7662666C"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w:t>
            </w:r>
          </w:p>
        </w:tc>
        <w:tc>
          <w:tcPr>
            <w:tcW w:w="979" w:type="dxa"/>
            <w:shd w:val="clear" w:color="auto" w:fill="FFF2CC" w:themeFill="accent4" w:themeFillTint="33"/>
            <w:vAlign w:val="center"/>
          </w:tcPr>
          <w:p w14:paraId="380041EF"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100</w:t>
            </w:r>
          </w:p>
        </w:tc>
      </w:tr>
      <w:tr w:rsidR="0030359D" w:rsidRPr="00296E53" w14:paraId="0391D078" w14:textId="77777777" w:rsidTr="00866E20">
        <w:trPr>
          <w:trHeight w:val="20"/>
          <w:jc w:val="center"/>
        </w:trPr>
        <w:tc>
          <w:tcPr>
            <w:tcW w:w="841" w:type="dxa"/>
            <w:vMerge/>
            <w:shd w:val="clear" w:color="auto" w:fill="F2F2F2" w:themeFill="background1" w:themeFillShade="F2"/>
            <w:noWrap/>
            <w:vAlign w:val="center"/>
          </w:tcPr>
          <w:p w14:paraId="5A742B1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35A724FF"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Emplazamientos a huelga solucionados</w:t>
            </w:r>
          </w:p>
        </w:tc>
        <w:tc>
          <w:tcPr>
            <w:tcW w:w="616" w:type="dxa"/>
            <w:shd w:val="clear" w:color="auto" w:fill="F2F2F2" w:themeFill="background1" w:themeFillShade="F2"/>
            <w:vAlign w:val="center"/>
          </w:tcPr>
          <w:p w14:paraId="68431138"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6FF86F3A"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10</w:t>
            </w:r>
          </w:p>
        </w:tc>
        <w:tc>
          <w:tcPr>
            <w:tcW w:w="982" w:type="dxa"/>
            <w:shd w:val="clear" w:color="auto" w:fill="FFF2CC" w:themeFill="accent4" w:themeFillTint="33"/>
            <w:vAlign w:val="center"/>
          </w:tcPr>
          <w:p w14:paraId="28CFF4C4"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4CEDBDDF"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34.03</w:t>
            </w:r>
          </w:p>
        </w:tc>
        <w:tc>
          <w:tcPr>
            <w:tcW w:w="978" w:type="dxa"/>
            <w:shd w:val="clear" w:color="auto" w:fill="FFF2CC" w:themeFill="accent4" w:themeFillTint="33"/>
            <w:vAlign w:val="center"/>
          </w:tcPr>
          <w:p w14:paraId="5799F677"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w:t>
            </w:r>
          </w:p>
        </w:tc>
        <w:tc>
          <w:tcPr>
            <w:tcW w:w="979" w:type="dxa"/>
            <w:shd w:val="clear" w:color="auto" w:fill="FFF2CC" w:themeFill="accent4" w:themeFillTint="33"/>
            <w:vAlign w:val="center"/>
          </w:tcPr>
          <w:p w14:paraId="489126FF"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100</w:t>
            </w:r>
          </w:p>
        </w:tc>
      </w:tr>
      <w:tr w:rsidR="0030359D" w:rsidRPr="00296E53" w14:paraId="6BA2E936" w14:textId="77777777" w:rsidTr="00866E20">
        <w:trPr>
          <w:trHeight w:val="20"/>
          <w:jc w:val="center"/>
        </w:trPr>
        <w:tc>
          <w:tcPr>
            <w:tcW w:w="841" w:type="dxa"/>
            <w:vMerge/>
            <w:shd w:val="clear" w:color="auto" w:fill="F2F2F2" w:themeFill="background1" w:themeFillShade="F2"/>
            <w:noWrap/>
            <w:vAlign w:val="center"/>
          </w:tcPr>
          <w:p w14:paraId="0BF7382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2632F31C"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Huelgas estalladas</w:t>
            </w:r>
          </w:p>
        </w:tc>
        <w:tc>
          <w:tcPr>
            <w:tcW w:w="616" w:type="dxa"/>
            <w:shd w:val="clear" w:color="auto" w:fill="F2F2F2" w:themeFill="background1" w:themeFillShade="F2"/>
            <w:vAlign w:val="center"/>
          </w:tcPr>
          <w:p w14:paraId="0BA54E1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5FB0B44C"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10</w:t>
            </w:r>
          </w:p>
        </w:tc>
        <w:tc>
          <w:tcPr>
            <w:tcW w:w="982" w:type="dxa"/>
            <w:shd w:val="clear" w:color="auto" w:fill="FFF2CC" w:themeFill="accent4" w:themeFillTint="33"/>
            <w:vAlign w:val="center"/>
          </w:tcPr>
          <w:p w14:paraId="1901A473"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6F0E8546"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2.96</w:t>
            </w:r>
          </w:p>
        </w:tc>
        <w:tc>
          <w:tcPr>
            <w:tcW w:w="978" w:type="dxa"/>
            <w:shd w:val="clear" w:color="auto" w:fill="FFF2CC" w:themeFill="accent4" w:themeFillTint="33"/>
            <w:vAlign w:val="center"/>
          </w:tcPr>
          <w:p w14:paraId="1B1BC2CC"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w:t>
            </w:r>
          </w:p>
        </w:tc>
        <w:tc>
          <w:tcPr>
            <w:tcW w:w="979" w:type="dxa"/>
            <w:shd w:val="clear" w:color="auto" w:fill="FFF2CC" w:themeFill="accent4" w:themeFillTint="33"/>
            <w:vAlign w:val="center"/>
          </w:tcPr>
          <w:p w14:paraId="130CC309"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100</w:t>
            </w:r>
          </w:p>
        </w:tc>
      </w:tr>
      <w:tr w:rsidR="0030359D" w:rsidRPr="00296E53" w14:paraId="1812EC91" w14:textId="77777777" w:rsidTr="00866E20">
        <w:trPr>
          <w:trHeight w:val="20"/>
          <w:jc w:val="center"/>
        </w:trPr>
        <w:tc>
          <w:tcPr>
            <w:tcW w:w="841" w:type="dxa"/>
            <w:vMerge/>
            <w:shd w:val="clear" w:color="auto" w:fill="F2F2F2" w:themeFill="background1" w:themeFillShade="F2"/>
            <w:noWrap/>
            <w:vAlign w:val="center"/>
          </w:tcPr>
          <w:p w14:paraId="63D9BE9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337292EF"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Huelgas solucionadas</w:t>
            </w:r>
          </w:p>
        </w:tc>
        <w:tc>
          <w:tcPr>
            <w:tcW w:w="616" w:type="dxa"/>
            <w:shd w:val="clear" w:color="auto" w:fill="F2F2F2" w:themeFill="background1" w:themeFillShade="F2"/>
            <w:vAlign w:val="center"/>
          </w:tcPr>
          <w:p w14:paraId="4D7BA50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1B75EA7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15</w:t>
            </w:r>
          </w:p>
        </w:tc>
        <w:tc>
          <w:tcPr>
            <w:tcW w:w="982" w:type="dxa"/>
            <w:shd w:val="clear" w:color="auto" w:fill="FFF2CC" w:themeFill="accent4" w:themeFillTint="33"/>
            <w:vAlign w:val="center"/>
          </w:tcPr>
          <w:p w14:paraId="15B07534"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2D8D188B"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6.28</w:t>
            </w:r>
          </w:p>
        </w:tc>
        <w:tc>
          <w:tcPr>
            <w:tcW w:w="978" w:type="dxa"/>
            <w:shd w:val="clear" w:color="auto" w:fill="FFF2CC" w:themeFill="accent4" w:themeFillTint="33"/>
            <w:vAlign w:val="center"/>
          </w:tcPr>
          <w:p w14:paraId="18F35F5F"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w:t>
            </w:r>
          </w:p>
        </w:tc>
        <w:tc>
          <w:tcPr>
            <w:tcW w:w="979" w:type="dxa"/>
            <w:shd w:val="clear" w:color="auto" w:fill="FFF2CC" w:themeFill="accent4" w:themeFillTint="33"/>
            <w:vAlign w:val="center"/>
          </w:tcPr>
          <w:p w14:paraId="4B9E6EF1"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100</w:t>
            </w:r>
          </w:p>
        </w:tc>
      </w:tr>
    </w:tbl>
    <w:p w14:paraId="15137164" w14:textId="77777777" w:rsidR="00D103B2" w:rsidRPr="00296E53" w:rsidRDefault="00D103B2" w:rsidP="00D103B2">
      <w:pPr>
        <w:spacing w:after="100"/>
        <w:ind w:left="1440"/>
        <w:jc w:val="both"/>
        <w:rPr>
          <w:rFonts w:ascii="Century Gothic" w:hAnsi="Century Gothic"/>
          <w:sz w:val="14"/>
          <w:szCs w:val="14"/>
        </w:rPr>
      </w:pPr>
      <w:r w:rsidRPr="00296E53">
        <w:rPr>
          <w:rFonts w:ascii="Century Gothic" w:hAnsi="Century Gothic"/>
          <w:sz w:val="14"/>
          <w:szCs w:val="14"/>
        </w:rPr>
        <w:t>* Estos datos son los reportados en el Informe Anual de Resultados 2019, correspondientes a los indicadores los registrados en metadatos durante ese año, independientemente del período de publicación de la información.</w:t>
      </w:r>
    </w:p>
    <w:p w14:paraId="290A486D" w14:textId="25F1BE87" w:rsidR="0030359D" w:rsidRPr="00296E53" w:rsidRDefault="00D103B2" w:rsidP="00D103B2">
      <w:pPr>
        <w:spacing w:after="100"/>
        <w:ind w:left="1440"/>
        <w:jc w:val="both"/>
        <w:rPr>
          <w:rFonts w:ascii="Century Gothic" w:hAnsi="Century Gothic"/>
          <w:sz w:val="14"/>
          <w:szCs w:val="14"/>
        </w:rPr>
      </w:pPr>
      <w:r w:rsidRPr="00296E53">
        <w:rPr>
          <w:rFonts w:ascii="Century Gothic" w:hAnsi="Century Gothic"/>
          <w:sz w:val="14"/>
          <w:szCs w:val="14"/>
        </w:rPr>
        <w:t>** Estos datos corresponden a los indicadores registrados en metadatos durante el 2020, independientemente del período de publicación de la información.</w:t>
      </w:r>
    </w:p>
    <w:p w14:paraId="0A893799" w14:textId="77777777" w:rsidR="00CA518B" w:rsidRPr="00296E53" w:rsidRDefault="00CA518B" w:rsidP="000A4B13">
      <w:pPr>
        <w:jc w:val="both"/>
        <w:rPr>
          <w:rFonts w:ascii="Century Gothic" w:hAnsi="Century Gothic"/>
          <w:sz w:val="19"/>
          <w:szCs w:val="19"/>
        </w:rPr>
      </w:pPr>
      <w:r w:rsidRPr="00296E53">
        <w:rPr>
          <w:rFonts w:ascii="Century Gothic" w:hAnsi="Century Gothic"/>
          <w:sz w:val="19"/>
          <w:szCs w:val="19"/>
        </w:rPr>
        <w:t>Conclusiones:</w:t>
      </w:r>
    </w:p>
    <w:p w14:paraId="4D268C53" w14:textId="225DA6C6" w:rsidR="00CA518B" w:rsidRPr="00296E53" w:rsidRDefault="00CA518B" w:rsidP="000A4B13">
      <w:pPr>
        <w:jc w:val="both"/>
        <w:rPr>
          <w:rFonts w:ascii="Century Gothic" w:hAnsi="Century Gothic"/>
          <w:sz w:val="19"/>
          <w:szCs w:val="19"/>
        </w:rPr>
      </w:pPr>
      <w:r w:rsidRPr="00296E53">
        <w:rPr>
          <w:rFonts w:ascii="Century Gothic" w:hAnsi="Century Gothic"/>
          <w:sz w:val="19"/>
          <w:szCs w:val="19"/>
        </w:rPr>
        <w:t xml:space="preserve">La tasa de </w:t>
      </w:r>
      <w:proofErr w:type="spellStart"/>
      <w:r w:rsidRPr="00296E53">
        <w:rPr>
          <w:rFonts w:ascii="Century Gothic" w:hAnsi="Century Gothic"/>
          <w:sz w:val="19"/>
          <w:szCs w:val="19"/>
        </w:rPr>
        <w:t>sobrecobertura</w:t>
      </w:r>
      <w:proofErr w:type="spellEnd"/>
      <w:r w:rsidRPr="00296E53">
        <w:rPr>
          <w:rFonts w:ascii="Century Gothic" w:hAnsi="Century Gothic"/>
          <w:sz w:val="19"/>
          <w:szCs w:val="19"/>
        </w:rPr>
        <w:t xml:space="preserve"> y la tasa de no respuesta son indicadores relevantes para el seguimiento de calidad de la información y deben ser reportados cada vez que se publica información conforme al acuerdo CAC-004/02/2019 del Comité de Aseguramiento de la Calidad</w:t>
      </w:r>
      <w:r w:rsidR="00915E45" w:rsidRPr="00296E53">
        <w:rPr>
          <w:rFonts w:ascii="Century Gothic" w:hAnsi="Century Gothic"/>
          <w:sz w:val="19"/>
          <w:szCs w:val="19"/>
        </w:rPr>
        <w:t>.</w:t>
      </w:r>
    </w:p>
    <w:p w14:paraId="5AE21847" w14:textId="77777777" w:rsidR="00CA518B" w:rsidRPr="00296E53" w:rsidRDefault="00CA518B" w:rsidP="000A4B13">
      <w:pPr>
        <w:jc w:val="both"/>
        <w:rPr>
          <w:rFonts w:ascii="Century Gothic" w:hAnsi="Century Gothic"/>
          <w:sz w:val="19"/>
          <w:szCs w:val="19"/>
        </w:rPr>
      </w:pPr>
      <w:r w:rsidRPr="00296E53">
        <w:rPr>
          <w:rFonts w:ascii="Century Gothic" w:hAnsi="Century Gothic"/>
          <w:sz w:val="19"/>
          <w:szCs w:val="19"/>
        </w:rPr>
        <w:t>Se aprueban los tres indicadores de tipo interno presentados, de acuerdo con lo establecido en las fichas técnicas, los cuales deberán ser reportados por los responsables de programas de registros administrativos a partir del segundo semestre de 2019 en los metadatos, considerando los siguientes puntos:</w:t>
      </w:r>
    </w:p>
    <w:p w14:paraId="2ECA4A9D" w14:textId="77777777" w:rsidR="00CA518B" w:rsidRPr="00296E53" w:rsidRDefault="00CA518B" w:rsidP="000A4B13">
      <w:pPr>
        <w:pStyle w:val="Prrafodelista"/>
        <w:numPr>
          <w:ilvl w:val="0"/>
          <w:numId w:val="17"/>
        </w:numPr>
        <w:jc w:val="both"/>
        <w:rPr>
          <w:rFonts w:ascii="Century Gothic" w:hAnsi="Century Gothic"/>
          <w:sz w:val="19"/>
          <w:szCs w:val="19"/>
        </w:rPr>
      </w:pPr>
      <w:r w:rsidRPr="00296E53">
        <w:rPr>
          <w:rFonts w:ascii="Century Gothic" w:hAnsi="Century Gothic"/>
          <w:sz w:val="19"/>
          <w:szCs w:val="19"/>
        </w:rPr>
        <w:t>el reporte se deberá realizar a más tardar a los 30 días naturales contados a partir de la publicación de la información del Programa,</w:t>
      </w:r>
    </w:p>
    <w:p w14:paraId="219D3550" w14:textId="77777777" w:rsidR="00CA518B" w:rsidRPr="00296E53" w:rsidRDefault="00CA518B" w:rsidP="000A4B13">
      <w:pPr>
        <w:pStyle w:val="Prrafodelista"/>
        <w:numPr>
          <w:ilvl w:val="0"/>
          <w:numId w:val="17"/>
        </w:numPr>
        <w:jc w:val="both"/>
        <w:rPr>
          <w:rFonts w:ascii="Century Gothic" w:hAnsi="Century Gothic"/>
          <w:sz w:val="19"/>
          <w:szCs w:val="19"/>
        </w:rPr>
      </w:pPr>
      <w:r w:rsidRPr="00296E53">
        <w:rPr>
          <w:rFonts w:ascii="Century Gothic" w:hAnsi="Century Gothic"/>
          <w:sz w:val="19"/>
          <w:szCs w:val="19"/>
        </w:rPr>
        <w:t>se deberá usar el formato definido en el Grupo de Trabajo,</w:t>
      </w:r>
    </w:p>
    <w:p w14:paraId="27131475" w14:textId="7DD3B6FE" w:rsidR="00CA518B" w:rsidRPr="00296E53" w:rsidRDefault="00CA518B" w:rsidP="000A4B13">
      <w:pPr>
        <w:pStyle w:val="Prrafodelista"/>
        <w:numPr>
          <w:ilvl w:val="0"/>
          <w:numId w:val="17"/>
        </w:numPr>
        <w:jc w:val="both"/>
        <w:rPr>
          <w:rFonts w:ascii="Century Gothic" w:hAnsi="Century Gothic"/>
          <w:sz w:val="19"/>
          <w:szCs w:val="19"/>
        </w:rPr>
      </w:pPr>
      <w:r w:rsidRPr="00296E53">
        <w:rPr>
          <w:rFonts w:ascii="Century Gothic" w:hAnsi="Century Gothic"/>
          <w:sz w:val="19"/>
          <w:szCs w:val="19"/>
        </w:rPr>
        <w:t>en el caso de la Tasa de No Respuesta a Nivel Unidad, para cada programa se incluirá en la sección de metadatos una nota técnica explicando el algoritmo espec</w:t>
      </w:r>
      <w:r w:rsidR="00915E45" w:rsidRPr="00296E53">
        <w:rPr>
          <w:rFonts w:ascii="Century Gothic" w:hAnsi="Century Gothic"/>
          <w:sz w:val="19"/>
          <w:szCs w:val="19"/>
        </w:rPr>
        <w:t>í</w:t>
      </w:r>
      <w:r w:rsidRPr="00296E53">
        <w:rPr>
          <w:rFonts w:ascii="Century Gothic" w:hAnsi="Century Gothic"/>
          <w:sz w:val="19"/>
          <w:szCs w:val="19"/>
        </w:rPr>
        <w:t>fico usado para su cálculo.</w:t>
      </w:r>
    </w:p>
    <w:p w14:paraId="2204908A" w14:textId="77777777" w:rsidR="000C1ADA" w:rsidRPr="00296E53" w:rsidRDefault="000C1ADA" w:rsidP="00CA518B">
      <w:pPr>
        <w:rPr>
          <w:rFonts w:ascii="Century Gothic" w:hAnsi="Century Gothic"/>
          <w:sz w:val="19"/>
          <w:szCs w:val="19"/>
        </w:rPr>
      </w:pPr>
    </w:p>
    <w:p w14:paraId="2429D547" w14:textId="77777777" w:rsidR="00657B06" w:rsidRPr="00296E53" w:rsidRDefault="00657B06">
      <w:pPr>
        <w:rPr>
          <w:rFonts w:ascii="Century Gothic" w:hAnsi="Century Gothic"/>
          <w:sz w:val="19"/>
          <w:szCs w:val="19"/>
        </w:rPr>
      </w:pPr>
      <w:r w:rsidRPr="00296E53">
        <w:rPr>
          <w:rFonts w:ascii="Century Gothic" w:hAnsi="Century Gothic"/>
          <w:sz w:val="19"/>
          <w:szCs w:val="19"/>
        </w:rPr>
        <w:br w:type="page"/>
      </w:r>
    </w:p>
    <w:p w14:paraId="73E7C1C8" w14:textId="77777777" w:rsidR="00652583" w:rsidRPr="00296E53" w:rsidRDefault="00652583" w:rsidP="00652583">
      <w:pPr>
        <w:spacing w:after="0"/>
        <w:jc w:val="right"/>
        <w:rPr>
          <w:rFonts w:ascii="Century Gothic" w:hAnsi="Century Gothic"/>
        </w:rPr>
      </w:pPr>
      <w:r w:rsidRPr="00296E53">
        <w:rPr>
          <w:rFonts w:cstheme="minorHAnsi"/>
          <w:color w:val="0079BF"/>
          <w:sz w:val="36"/>
          <w:szCs w:val="144"/>
        </w:rPr>
        <w:t xml:space="preserve">ANEXO </w:t>
      </w:r>
      <w:r w:rsidR="00932E97" w:rsidRPr="00296E53">
        <w:rPr>
          <w:rFonts w:cstheme="minorHAnsi"/>
          <w:color w:val="0079BF"/>
          <w:sz w:val="36"/>
          <w:szCs w:val="144"/>
        </w:rPr>
        <w:t>6</w:t>
      </w:r>
    </w:p>
    <w:tbl>
      <w:tblPr>
        <w:tblW w:w="16307" w:type="dxa"/>
        <w:tblInd w:w="-1139" w:type="dxa"/>
        <w:tblLook w:val="04A0" w:firstRow="1" w:lastRow="0" w:firstColumn="1" w:lastColumn="0" w:noHBand="0" w:noVBand="1"/>
      </w:tblPr>
      <w:tblGrid>
        <w:gridCol w:w="7518"/>
        <w:gridCol w:w="8789"/>
      </w:tblGrid>
      <w:tr w:rsidR="00652583" w:rsidRPr="00296E53" w14:paraId="61676691" w14:textId="77777777" w:rsidTr="00A5265F">
        <w:trPr>
          <w:trHeight w:val="201"/>
        </w:trPr>
        <w:tc>
          <w:tcPr>
            <w:tcW w:w="7518" w:type="dxa"/>
            <w:shd w:val="clear" w:color="auto" w:fill="1F3864" w:themeFill="accent5" w:themeFillShade="80"/>
          </w:tcPr>
          <w:p w14:paraId="1D021051" w14:textId="77777777" w:rsidR="00652583" w:rsidRPr="00296E53" w:rsidRDefault="00652583" w:rsidP="00A5265F">
            <w:pPr>
              <w:rPr>
                <w:rFonts w:cstheme="minorHAnsi"/>
                <w:color w:val="FFFFFF" w:themeColor="background1"/>
                <w:sz w:val="2"/>
                <w:szCs w:val="18"/>
              </w:rPr>
            </w:pPr>
          </w:p>
        </w:tc>
        <w:tc>
          <w:tcPr>
            <w:tcW w:w="8789" w:type="dxa"/>
            <w:shd w:val="clear" w:color="auto" w:fill="auto"/>
          </w:tcPr>
          <w:p w14:paraId="7338B43C" w14:textId="77777777" w:rsidR="00652583" w:rsidRPr="00296E53" w:rsidRDefault="00652583" w:rsidP="00A5265F">
            <w:pPr>
              <w:rPr>
                <w:rFonts w:cstheme="minorHAnsi"/>
                <w:color w:val="FFFFFF" w:themeColor="background1"/>
                <w:sz w:val="2"/>
                <w:szCs w:val="18"/>
              </w:rPr>
            </w:pPr>
          </w:p>
        </w:tc>
      </w:tr>
      <w:tr w:rsidR="00652583" w:rsidRPr="00296E53" w14:paraId="10F141F9" w14:textId="77777777" w:rsidTr="00A5265F">
        <w:trPr>
          <w:trHeight w:val="201"/>
        </w:trPr>
        <w:tc>
          <w:tcPr>
            <w:tcW w:w="7518" w:type="dxa"/>
            <w:shd w:val="clear" w:color="auto" w:fill="0079BF"/>
          </w:tcPr>
          <w:p w14:paraId="56D6C3C8" w14:textId="77777777" w:rsidR="00652583" w:rsidRPr="00296E53" w:rsidRDefault="00652583" w:rsidP="00A5265F">
            <w:pPr>
              <w:rPr>
                <w:rFonts w:cstheme="minorHAnsi"/>
                <w:color w:val="FFFFFF" w:themeColor="background1"/>
                <w:sz w:val="2"/>
                <w:szCs w:val="18"/>
              </w:rPr>
            </w:pPr>
          </w:p>
        </w:tc>
        <w:tc>
          <w:tcPr>
            <w:tcW w:w="8789" w:type="dxa"/>
            <w:shd w:val="clear" w:color="auto" w:fill="0079BF"/>
          </w:tcPr>
          <w:p w14:paraId="0821BA35" w14:textId="77777777" w:rsidR="00652583" w:rsidRPr="00296E53" w:rsidRDefault="00652583" w:rsidP="00A5265F">
            <w:pPr>
              <w:rPr>
                <w:rFonts w:cstheme="minorHAnsi"/>
                <w:color w:val="FFFFFF" w:themeColor="background1"/>
                <w:sz w:val="2"/>
                <w:szCs w:val="18"/>
              </w:rPr>
            </w:pPr>
          </w:p>
        </w:tc>
      </w:tr>
    </w:tbl>
    <w:p w14:paraId="127CA236" w14:textId="77777777" w:rsidR="00652583" w:rsidRPr="00296E53" w:rsidRDefault="00652583" w:rsidP="00652583">
      <w:pPr>
        <w:spacing w:after="120"/>
        <w:rPr>
          <w:rFonts w:ascii="Century Gothic" w:hAnsi="Century Gothic"/>
          <w:b/>
          <w:sz w:val="18"/>
        </w:rPr>
      </w:pPr>
    </w:p>
    <w:p w14:paraId="5267A04C" w14:textId="77777777" w:rsidR="00D41680" w:rsidRPr="00296E53" w:rsidRDefault="00D41680" w:rsidP="00D41680">
      <w:pPr>
        <w:pStyle w:val="Ttulo1"/>
        <w:rPr>
          <w:rFonts w:ascii="Century Gothic" w:eastAsiaTheme="minorHAnsi" w:hAnsi="Century Gothic" w:cstheme="minorBidi"/>
          <w:b/>
          <w:color w:val="auto"/>
          <w:sz w:val="22"/>
          <w:szCs w:val="22"/>
        </w:rPr>
      </w:pPr>
      <w:bookmarkStart w:id="25" w:name="_Toc65502233"/>
      <w:r w:rsidRPr="00296E53">
        <w:rPr>
          <w:rFonts w:ascii="Century Gothic" w:eastAsiaTheme="minorHAnsi" w:hAnsi="Century Gothic" w:cstheme="minorBidi"/>
          <w:b/>
          <w:color w:val="auto"/>
          <w:sz w:val="22"/>
          <w:szCs w:val="22"/>
        </w:rPr>
        <w:t>Anexo 6: Indicadores de precisión y confiabilidad en encuestas</w:t>
      </w:r>
      <w:bookmarkEnd w:id="25"/>
    </w:p>
    <w:p w14:paraId="6C7D63AA" w14:textId="34A7C6A6" w:rsidR="00C45773" w:rsidRPr="00296E53" w:rsidRDefault="00C45773" w:rsidP="00C45773">
      <w:pPr>
        <w:spacing w:before="240"/>
        <w:jc w:val="both"/>
        <w:rPr>
          <w:rFonts w:ascii="Century Gothic" w:hAnsi="Century Gothic" w:cstheme="minorHAnsi"/>
          <w:sz w:val="19"/>
          <w:szCs w:val="19"/>
        </w:rPr>
      </w:pPr>
      <w:r w:rsidRPr="00296E53">
        <w:rPr>
          <w:rFonts w:ascii="Century Gothic" w:hAnsi="Century Gothic" w:cstheme="minorHAnsi"/>
          <w:sz w:val="19"/>
          <w:szCs w:val="19"/>
        </w:rPr>
        <w:t>En 2017 y 2018 el Comité de Aseguramiento de la Calidad aprobó nueve indicadores para medir la precisión en encuestas. Los indicadores aprobados se diferenciaron como de uso externo y uso interno, ambos deben reportarse en los metadatos de los programas de información, pero los de uso externo están disponibles para la consulta de los usuarios a través de la Red Nacional de Metadatos.</w:t>
      </w:r>
    </w:p>
    <w:p w14:paraId="21656BB8" w14:textId="77777777" w:rsidR="006143D8" w:rsidRPr="00296E53" w:rsidRDefault="006143D8" w:rsidP="00C45773">
      <w:pPr>
        <w:spacing w:before="240"/>
        <w:jc w:val="both"/>
        <w:rPr>
          <w:rFonts w:ascii="Century Gothic" w:hAnsi="Century Gothic" w:cstheme="minorHAnsi"/>
          <w:sz w:val="19"/>
          <w:szCs w:val="19"/>
        </w:rPr>
      </w:pPr>
    </w:p>
    <w:p w14:paraId="4AE2282B" w14:textId="77777777" w:rsidR="00C45773" w:rsidRPr="00296E53" w:rsidRDefault="00C45773" w:rsidP="00C45773">
      <w:pPr>
        <w:spacing w:after="120"/>
        <w:jc w:val="center"/>
        <w:rPr>
          <w:rFonts w:ascii="Century Gothic" w:hAnsi="Century Gothic" w:cstheme="majorHAnsi"/>
          <w:b/>
          <w:sz w:val="19"/>
          <w:szCs w:val="19"/>
        </w:rPr>
      </w:pPr>
      <w:r w:rsidRPr="00296E53">
        <w:rPr>
          <w:rFonts w:ascii="Century Gothic" w:hAnsi="Century Gothic" w:cstheme="majorHAnsi"/>
          <w:b/>
          <w:sz w:val="19"/>
          <w:szCs w:val="19"/>
        </w:rPr>
        <w:t>A.6.1. Indicadores de precisión y confiabilidad estadística aprobados según tipo de uso</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3686"/>
        <w:gridCol w:w="6395"/>
      </w:tblGrid>
      <w:tr w:rsidR="00C45773" w:rsidRPr="00296E53" w14:paraId="11A9EDE9" w14:textId="77777777" w:rsidTr="00C45773">
        <w:trPr>
          <w:jc w:val="center"/>
        </w:trPr>
        <w:tc>
          <w:tcPr>
            <w:tcW w:w="3686" w:type="dxa"/>
            <w:shd w:val="clear" w:color="auto" w:fill="1F3864" w:themeFill="accent5" w:themeFillShade="80"/>
          </w:tcPr>
          <w:p w14:paraId="612BC78B" w14:textId="77777777" w:rsidR="00C45773" w:rsidRPr="00296E53" w:rsidRDefault="00C45773" w:rsidP="00A5265F">
            <w:pPr>
              <w:spacing w:before="60" w:after="6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externo:</w:t>
            </w:r>
          </w:p>
        </w:tc>
        <w:tc>
          <w:tcPr>
            <w:tcW w:w="6395" w:type="dxa"/>
            <w:shd w:val="clear" w:color="auto" w:fill="1F3864" w:themeFill="accent5" w:themeFillShade="80"/>
          </w:tcPr>
          <w:p w14:paraId="67931C1A" w14:textId="77777777" w:rsidR="00C45773" w:rsidRPr="00296E53" w:rsidRDefault="00C45773" w:rsidP="00A5265F">
            <w:pPr>
              <w:spacing w:before="60" w:after="6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Interno:</w:t>
            </w:r>
          </w:p>
        </w:tc>
      </w:tr>
      <w:tr w:rsidR="00C45773" w:rsidRPr="00296E53" w14:paraId="240841FF" w14:textId="77777777" w:rsidTr="00C45773">
        <w:trPr>
          <w:jc w:val="center"/>
        </w:trPr>
        <w:tc>
          <w:tcPr>
            <w:tcW w:w="3686" w:type="dxa"/>
            <w:shd w:val="clear" w:color="auto" w:fill="C5EAFF"/>
          </w:tcPr>
          <w:p w14:paraId="3F18BCAA" w14:textId="77777777" w:rsidR="00C45773" w:rsidRPr="00296E53" w:rsidRDefault="00C45773" w:rsidP="004C2C1D">
            <w:pPr>
              <w:numPr>
                <w:ilvl w:val="0"/>
                <w:numId w:val="2"/>
              </w:numPr>
              <w:tabs>
                <w:tab w:val="clear" w:pos="720"/>
                <w:tab w:val="num" w:pos="317"/>
              </w:tabs>
              <w:ind w:left="317" w:hanging="283"/>
              <w:jc w:val="both"/>
              <w:rPr>
                <w:rFonts w:ascii="Century Gothic" w:eastAsia="Calibri" w:hAnsi="Century Gothic"/>
                <w:sz w:val="16"/>
                <w:szCs w:val="20"/>
              </w:rPr>
            </w:pPr>
            <w:r w:rsidRPr="00296E53">
              <w:rPr>
                <w:rFonts w:ascii="Century Gothic" w:eastAsia="Calibri" w:hAnsi="Century Gothic"/>
                <w:sz w:val="16"/>
                <w:szCs w:val="20"/>
              </w:rPr>
              <w:t>Coeficiente de Variación (CV)</w:t>
            </w:r>
          </w:p>
          <w:p w14:paraId="330AA85D" w14:textId="77777777" w:rsidR="00C45773" w:rsidRPr="00296E53" w:rsidRDefault="00C45773" w:rsidP="004C2C1D">
            <w:pPr>
              <w:numPr>
                <w:ilvl w:val="0"/>
                <w:numId w:val="2"/>
              </w:numPr>
              <w:tabs>
                <w:tab w:val="clear" w:pos="720"/>
                <w:tab w:val="num" w:pos="317"/>
              </w:tabs>
              <w:ind w:left="317" w:hanging="283"/>
              <w:jc w:val="both"/>
              <w:rPr>
                <w:rFonts w:ascii="Century Gothic" w:eastAsia="Calibri" w:hAnsi="Century Gothic"/>
                <w:sz w:val="16"/>
                <w:szCs w:val="20"/>
              </w:rPr>
            </w:pPr>
            <w:r w:rsidRPr="00296E53">
              <w:rPr>
                <w:rFonts w:ascii="Century Gothic" w:eastAsia="Calibri" w:hAnsi="Century Gothic"/>
                <w:sz w:val="16"/>
                <w:szCs w:val="20"/>
              </w:rPr>
              <w:t>Error Estándar (SE)</w:t>
            </w:r>
          </w:p>
          <w:p w14:paraId="3AE9D320" w14:textId="77777777" w:rsidR="00C45773" w:rsidRPr="00296E53" w:rsidRDefault="00C45773" w:rsidP="004C2C1D">
            <w:pPr>
              <w:numPr>
                <w:ilvl w:val="0"/>
                <w:numId w:val="2"/>
              </w:numPr>
              <w:tabs>
                <w:tab w:val="clear" w:pos="720"/>
                <w:tab w:val="num" w:pos="317"/>
              </w:tabs>
              <w:ind w:left="317" w:hanging="283"/>
              <w:jc w:val="both"/>
              <w:rPr>
                <w:rFonts w:ascii="Century Gothic" w:eastAsia="Calibri" w:hAnsi="Century Gothic"/>
                <w:sz w:val="16"/>
                <w:szCs w:val="20"/>
              </w:rPr>
            </w:pPr>
            <w:r w:rsidRPr="00296E53">
              <w:rPr>
                <w:rFonts w:ascii="Century Gothic" w:eastAsia="Calibri" w:hAnsi="Century Gothic"/>
                <w:sz w:val="16"/>
                <w:szCs w:val="20"/>
              </w:rPr>
              <w:t xml:space="preserve">Intervalos de confianza (IC) </w:t>
            </w:r>
          </w:p>
          <w:p w14:paraId="37553636" w14:textId="77777777" w:rsidR="00C45773" w:rsidRPr="00296E53" w:rsidRDefault="00C45773" w:rsidP="004C2C1D">
            <w:pPr>
              <w:numPr>
                <w:ilvl w:val="0"/>
                <w:numId w:val="2"/>
              </w:numPr>
              <w:tabs>
                <w:tab w:val="clear" w:pos="720"/>
                <w:tab w:val="num" w:pos="317"/>
              </w:tabs>
              <w:ind w:left="317" w:hanging="283"/>
              <w:rPr>
                <w:rFonts w:ascii="Century Gothic" w:eastAsia="Calibri" w:hAnsi="Century Gothic"/>
                <w:sz w:val="16"/>
                <w:szCs w:val="20"/>
              </w:rPr>
            </w:pPr>
            <w:r w:rsidRPr="00296E53">
              <w:rPr>
                <w:rFonts w:ascii="Century Gothic" w:eastAsia="Calibri" w:hAnsi="Century Gothic"/>
                <w:sz w:val="16"/>
                <w:szCs w:val="20"/>
              </w:rPr>
              <w:t>Cobertura de la variable de diseño (CD)</w:t>
            </w:r>
            <w:r w:rsidRPr="00296E53">
              <w:rPr>
                <w:rFonts w:ascii="Century Gothic" w:eastAsia="Calibri" w:hAnsi="Century Gothic"/>
                <w:sz w:val="16"/>
                <w:szCs w:val="20"/>
              </w:rPr>
              <w:br/>
              <w:t>(solo para encuestas con muestreo no probabilístico)</w:t>
            </w:r>
          </w:p>
        </w:tc>
        <w:tc>
          <w:tcPr>
            <w:tcW w:w="6395" w:type="dxa"/>
            <w:shd w:val="clear" w:color="auto" w:fill="C5EAFF"/>
          </w:tcPr>
          <w:p w14:paraId="5B0D8950" w14:textId="343EE2D9" w:rsidR="00C45773" w:rsidRPr="00296E53"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antes de imputación a nivel unidad de observación (TNR</w:t>
            </w:r>
            <w:r w:rsidR="005107E9" w:rsidRPr="00296E53">
              <w:rPr>
                <w:rFonts w:ascii="Century Gothic" w:eastAsia="Calibri" w:hAnsi="Century Gothic"/>
                <w:sz w:val="16"/>
                <w:szCs w:val="20"/>
              </w:rPr>
              <w:t>_</w:t>
            </w:r>
            <w:r w:rsidRPr="00296E53">
              <w:rPr>
                <w:rFonts w:ascii="Century Gothic" w:eastAsia="Calibri" w:hAnsi="Century Gothic"/>
                <w:sz w:val="16"/>
                <w:szCs w:val="20"/>
              </w:rPr>
              <w:t>AI)</w:t>
            </w:r>
          </w:p>
          <w:p w14:paraId="315997C8" w14:textId="77777777" w:rsidR="00C45773" w:rsidRPr="00296E53"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296E53">
              <w:rPr>
                <w:rFonts w:ascii="Century Gothic" w:eastAsia="Calibri" w:hAnsi="Century Gothic"/>
                <w:sz w:val="16"/>
                <w:szCs w:val="20"/>
              </w:rPr>
              <w:t>Tasa de cumplimiento de la muestra mínima antes de imputación (TCMM)</w:t>
            </w:r>
          </w:p>
          <w:p w14:paraId="5520A5B4" w14:textId="6B917213" w:rsidR="00C45773" w:rsidRPr="00296E53"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después de imputación a nivel unidad de observación (TNR</w:t>
            </w:r>
            <w:r w:rsidR="005107E9" w:rsidRPr="00296E53">
              <w:rPr>
                <w:rFonts w:ascii="Century Gothic" w:eastAsia="Calibri" w:hAnsi="Century Gothic"/>
                <w:sz w:val="16"/>
                <w:szCs w:val="20"/>
              </w:rPr>
              <w:t>_</w:t>
            </w:r>
            <w:r w:rsidRPr="00296E53">
              <w:rPr>
                <w:rFonts w:ascii="Century Gothic" w:eastAsia="Calibri" w:hAnsi="Century Gothic"/>
                <w:sz w:val="16"/>
                <w:szCs w:val="20"/>
              </w:rPr>
              <w:t>DI)</w:t>
            </w:r>
          </w:p>
          <w:p w14:paraId="6081C042" w14:textId="77777777" w:rsidR="00C45773" w:rsidRPr="00296E53"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296E53">
              <w:rPr>
                <w:rFonts w:ascii="Century Gothic" w:eastAsia="Calibri" w:hAnsi="Century Gothic"/>
                <w:sz w:val="16"/>
                <w:szCs w:val="20"/>
              </w:rPr>
              <w:t>Tasa de imputación a nivel unidad de observación (TI)</w:t>
            </w:r>
          </w:p>
          <w:p w14:paraId="6CB983F5" w14:textId="2D42E1B2" w:rsidR="00C45773" w:rsidRPr="00296E53"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296E53">
              <w:rPr>
                <w:rFonts w:ascii="Century Gothic" w:eastAsia="Calibri" w:hAnsi="Century Gothic"/>
                <w:sz w:val="16"/>
                <w:szCs w:val="20"/>
              </w:rPr>
              <w:t xml:space="preserve">Tasa de </w:t>
            </w:r>
            <w:proofErr w:type="spellStart"/>
            <w:r w:rsidRPr="00296E53">
              <w:rPr>
                <w:rFonts w:ascii="Century Gothic" w:eastAsia="Calibri" w:hAnsi="Century Gothic"/>
                <w:sz w:val="16"/>
                <w:szCs w:val="20"/>
              </w:rPr>
              <w:t>sobrecobertura</w:t>
            </w:r>
            <w:proofErr w:type="spellEnd"/>
            <w:r w:rsidRPr="00296E53">
              <w:rPr>
                <w:rFonts w:ascii="Century Gothic" w:eastAsia="Calibri" w:hAnsi="Century Gothic"/>
                <w:sz w:val="16"/>
                <w:szCs w:val="20"/>
              </w:rPr>
              <w:t xml:space="preserve"> a nivel unidad de observación (TS</w:t>
            </w:r>
            <w:r w:rsidR="005107E9" w:rsidRPr="00296E53">
              <w:rPr>
                <w:rFonts w:ascii="Century Gothic" w:eastAsia="Calibri" w:hAnsi="Century Gothic"/>
                <w:sz w:val="16"/>
                <w:szCs w:val="20"/>
              </w:rPr>
              <w:t>C</w:t>
            </w:r>
            <w:r w:rsidRPr="00296E53">
              <w:rPr>
                <w:rFonts w:ascii="Century Gothic" w:eastAsia="Calibri" w:hAnsi="Century Gothic"/>
                <w:sz w:val="16"/>
                <w:szCs w:val="20"/>
              </w:rPr>
              <w:t>)</w:t>
            </w:r>
          </w:p>
        </w:tc>
      </w:tr>
    </w:tbl>
    <w:p w14:paraId="6BD88E01" w14:textId="77777777" w:rsidR="006143D8" w:rsidRPr="00296E53" w:rsidRDefault="006143D8" w:rsidP="00C45773">
      <w:pPr>
        <w:spacing w:before="240"/>
        <w:jc w:val="both"/>
        <w:rPr>
          <w:rFonts w:ascii="Century Gothic" w:hAnsi="Century Gothic" w:cstheme="minorHAnsi"/>
          <w:sz w:val="19"/>
          <w:szCs w:val="19"/>
        </w:rPr>
      </w:pPr>
    </w:p>
    <w:p w14:paraId="6DCCA94E" w14:textId="4B22E435" w:rsidR="00C45773" w:rsidRPr="00296E53" w:rsidRDefault="00C45773" w:rsidP="00C45773">
      <w:pPr>
        <w:spacing w:before="240"/>
        <w:jc w:val="both"/>
        <w:rPr>
          <w:rFonts w:ascii="Century Gothic" w:hAnsi="Century Gothic" w:cstheme="minorHAnsi"/>
          <w:sz w:val="19"/>
          <w:szCs w:val="19"/>
        </w:rPr>
      </w:pPr>
      <w:r w:rsidRPr="00296E53">
        <w:rPr>
          <w:rFonts w:ascii="Century Gothic" w:hAnsi="Century Gothic" w:cstheme="minorHAnsi"/>
          <w:sz w:val="19"/>
          <w:szCs w:val="19"/>
        </w:rPr>
        <w:t xml:space="preserve">El </w:t>
      </w:r>
      <w:r w:rsidR="00915E45" w:rsidRPr="00296E53">
        <w:rPr>
          <w:rFonts w:ascii="Century Gothic" w:hAnsi="Century Gothic" w:cstheme="minorHAnsi"/>
          <w:sz w:val="19"/>
          <w:szCs w:val="19"/>
        </w:rPr>
        <w:t>u</w:t>
      </w:r>
      <w:r w:rsidRPr="00296E53">
        <w:rPr>
          <w:rFonts w:ascii="Century Gothic" w:hAnsi="Century Gothic" w:cstheme="minorHAnsi"/>
          <w:sz w:val="19"/>
          <w:szCs w:val="19"/>
        </w:rPr>
        <w:t xml:space="preserve">niverso de encuestas por muestreo que para 2020 deberían calcular y reportar los indicadores antes mencionados fue de 86 ciclos de 20 Programas de Información (ver cuadro A.6.2.). Cabe señalar que las Encuestas de Viajeros Internacionales no se incluyen como parte de este universo, aunque desde </w:t>
      </w:r>
      <w:r w:rsidR="009D4F0F" w:rsidRPr="00296E53">
        <w:rPr>
          <w:rFonts w:ascii="Century Gothic" w:hAnsi="Century Gothic" w:cstheme="minorHAnsi"/>
          <w:sz w:val="19"/>
          <w:szCs w:val="19"/>
        </w:rPr>
        <w:t>agosto</w:t>
      </w:r>
      <w:r w:rsidRPr="00296E53">
        <w:rPr>
          <w:rFonts w:ascii="Century Gothic" w:hAnsi="Century Gothic" w:cstheme="minorHAnsi"/>
          <w:sz w:val="19"/>
          <w:szCs w:val="19"/>
        </w:rPr>
        <w:t xml:space="preserve"> de 2018 el INEGI ha estado a cargo de </w:t>
      </w:r>
      <w:r w:rsidR="009D4F0F" w:rsidRPr="00296E53">
        <w:rPr>
          <w:rFonts w:ascii="Century Gothic" w:hAnsi="Century Gothic" w:cstheme="minorHAnsi"/>
          <w:sz w:val="19"/>
          <w:szCs w:val="19"/>
        </w:rPr>
        <w:t>captar</w:t>
      </w:r>
      <w:r w:rsidRPr="00296E53">
        <w:rPr>
          <w:rFonts w:ascii="Century Gothic" w:hAnsi="Century Gothic" w:cstheme="minorHAnsi"/>
          <w:sz w:val="19"/>
          <w:szCs w:val="19"/>
        </w:rPr>
        <w:t xml:space="preserve"> y publicar mensualmente sus resultados.</w:t>
      </w:r>
    </w:p>
    <w:p w14:paraId="5F8819BC" w14:textId="77777777" w:rsidR="00C45773" w:rsidRPr="00296E53" w:rsidRDefault="00C45773" w:rsidP="00C45773">
      <w:pPr>
        <w:spacing w:before="240"/>
        <w:jc w:val="both"/>
        <w:rPr>
          <w:rFonts w:ascii="Century Gothic" w:hAnsi="Century Gothic" w:cstheme="minorHAnsi"/>
          <w:sz w:val="19"/>
          <w:szCs w:val="19"/>
        </w:rPr>
      </w:pPr>
      <w:r w:rsidRPr="00296E53">
        <w:rPr>
          <w:rFonts w:ascii="Century Gothic" w:hAnsi="Century Gothic" w:cstheme="minorHAnsi"/>
          <w:sz w:val="19"/>
          <w:szCs w:val="19"/>
        </w:rPr>
        <w:t>En 2020, por motivos de la contingencia sanitaria, se cancelaron las siguientes encuestas: ENCO (abril, mayo, junio y julio); ENSU (2do trimestre); ENOE (2do trimestre)</w:t>
      </w:r>
      <w:r w:rsidR="00915E45" w:rsidRPr="00296E53">
        <w:rPr>
          <w:rFonts w:ascii="Century Gothic" w:hAnsi="Century Gothic" w:cstheme="minorHAnsi"/>
          <w:sz w:val="19"/>
          <w:szCs w:val="19"/>
        </w:rPr>
        <w:t>,</w:t>
      </w:r>
      <w:r w:rsidRPr="00296E53">
        <w:rPr>
          <w:rFonts w:ascii="Century Gothic" w:hAnsi="Century Gothic" w:cstheme="minorHAnsi"/>
          <w:sz w:val="19"/>
          <w:szCs w:val="19"/>
        </w:rPr>
        <w:t xml:space="preserve"> y ENOE (3er trimestre) no reportó indicadores debido a cambios en su metodología. Por lo cual, dichos ciclos de estos programas no forman parte del universo.</w:t>
      </w:r>
    </w:p>
    <w:p w14:paraId="035019A4" w14:textId="77777777" w:rsidR="00CA54D2" w:rsidRPr="00296E53" w:rsidRDefault="00CA54D2">
      <w:pPr>
        <w:rPr>
          <w:rFonts w:ascii="Century Gothic" w:hAnsi="Century Gothic" w:cstheme="minorHAnsi"/>
          <w:sz w:val="19"/>
          <w:szCs w:val="19"/>
        </w:rPr>
      </w:pPr>
      <w:r w:rsidRPr="00296E53">
        <w:rPr>
          <w:rFonts w:ascii="Century Gothic" w:hAnsi="Century Gothic" w:cstheme="minorHAnsi"/>
          <w:sz w:val="19"/>
          <w:szCs w:val="19"/>
        </w:rPr>
        <w:br w:type="page"/>
      </w:r>
    </w:p>
    <w:p w14:paraId="32F461F9" w14:textId="77777777" w:rsidR="00C45773" w:rsidRPr="00296E53" w:rsidRDefault="00C45773" w:rsidP="00C45773">
      <w:pPr>
        <w:spacing w:after="120"/>
        <w:jc w:val="center"/>
        <w:rPr>
          <w:rFonts w:ascii="Century Gothic" w:hAnsi="Century Gothic" w:cstheme="majorHAnsi"/>
          <w:b/>
          <w:sz w:val="19"/>
          <w:szCs w:val="19"/>
        </w:rPr>
      </w:pPr>
      <w:r w:rsidRPr="00296E53">
        <w:rPr>
          <w:rFonts w:ascii="Century Gothic" w:hAnsi="Century Gothic" w:cstheme="majorHAnsi"/>
          <w:b/>
          <w:sz w:val="19"/>
          <w:szCs w:val="19"/>
        </w:rPr>
        <w:t xml:space="preserve">A.6.2. </w:t>
      </w:r>
      <w:r w:rsidR="004D61E8" w:rsidRPr="00296E53">
        <w:rPr>
          <w:rFonts w:ascii="Century Gothic" w:hAnsi="Century Gothic" w:cstheme="majorHAnsi"/>
          <w:b/>
          <w:sz w:val="19"/>
          <w:szCs w:val="19"/>
        </w:rPr>
        <w:t>Encuestas</w:t>
      </w:r>
      <w:r w:rsidRPr="00296E53">
        <w:rPr>
          <w:rFonts w:ascii="Century Gothic" w:hAnsi="Century Gothic" w:cstheme="majorHAnsi"/>
          <w:b/>
          <w:sz w:val="19"/>
          <w:szCs w:val="19"/>
        </w:rPr>
        <w:t xml:space="preserve"> con obligación de reportar indicadores de precisión conforme al calendario de difusión 2020</w:t>
      </w:r>
    </w:p>
    <w:tbl>
      <w:tblPr>
        <w:tblW w:w="13580" w:type="dxa"/>
        <w:jc w:val="center"/>
        <w:tblLayout w:type="fixed"/>
        <w:tblLook w:val="04A0" w:firstRow="1" w:lastRow="0" w:firstColumn="1" w:lastColumn="0" w:noHBand="0" w:noVBand="1"/>
      </w:tblPr>
      <w:tblGrid>
        <w:gridCol w:w="1271"/>
        <w:gridCol w:w="1563"/>
        <w:gridCol w:w="1268"/>
        <w:gridCol w:w="2409"/>
        <w:gridCol w:w="709"/>
        <w:gridCol w:w="708"/>
        <w:gridCol w:w="709"/>
        <w:gridCol w:w="851"/>
        <w:gridCol w:w="850"/>
        <w:gridCol w:w="992"/>
        <w:gridCol w:w="851"/>
        <w:gridCol w:w="709"/>
        <w:gridCol w:w="690"/>
      </w:tblGrid>
      <w:tr w:rsidR="004C67A4" w:rsidRPr="00296E53" w14:paraId="1A0AF819" w14:textId="77777777" w:rsidTr="006E2C19">
        <w:trPr>
          <w:trHeight w:val="271"/>
          <w:tblHeader/>
          <w:jc w:val="center"/>
        </w:trPr>
        <w:tc>
          <w:tcPr>
            <w:tcW w:w="1271"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645F6C8B"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 xml:space="preserve">UA </w:t>
            </w:r>
            <w:proofErr w:type="spellStart"/>
            <w:r w:rsidRPr="00296E53">
              <w:rPr>
                <w:rFonts w:ascii="Century Gothic" w:eastAsia="Times New Roman" w:hAnsi="Century Gothic" w:cs="Calibri"/>
                <w:color w:val="FFFFFF"/>
                <w:sz w:val="16"/>
                <w:szCs w:val="16"/>
                <w:lang w:val="en-US"/>
              </w:rPr>
              <w:t>Responsable</w:t>
            </w:r>
            <w:proofErr w:type="spellEnd"/>
          </w:p>
        </w:tc>
        <w:tc>
          <w:tcPr>
            <w:tcW w:w="1563"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3BD3EE3B" w14:textId="76A02D64"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proofErr w:type="spellStart"/>
            <w:r w:rsidRPr="00296E53">
              <w:rPr>
                <w:rFonts w:ascii="Century Gothic" w:eastAsia="Times New Roman" w:hAnsi="Century Gothic" w:cs="Calibri"/>
                <w:color w:val="FFFFFF"/>
                <w:sz w:val="16"/>
                <w:szCs w:val="16"/>
                <w:lang w:val="en-US"/>
              </w:rPr>
              <w:t>Programa</w:t>
            </w:r>
            <w:proofErr w:type="spellEnd"/>
            <w:r w:rsidR="002207A6">
              <w:rPr>
                <w:rFonts w:ascii="Century Gothic" w:eastAsia="Times New Roman" w:hAnsi="Century Gothic" w:cs="Calibri"/>
                <w:color w:val="FFFFFF"/>
                <w:sz w:val="16"/>
                <w:szCs w:val="16"/>
                <w:lang w:val="en-US"/>
              </w:rPr>
              <w:t xml:space="preserve"> / </w:t>
            </w:r>
            <w:proofErr w:type="spellStart"/>
            <w:r w:rsidR="002207A6">
              <w:rPr>
                <w:rFonts w:ascii="Century Gothic" w:eastAsia="Times New Roman" w:hAnsi="Century Gothic" w:cs="Calibri"/>
                <w:color w:val="FFFFFF"/>
                <w:sz w:val="16"/>
                <w:szCs w:val="16"/>
                <w:lang w:val="en-US"/>
              </w:rPr>
              <w:t>Proceso</w:t>
            </w:r>
            <w:proofErr w:type="spellEnd"/>
          </w:p>
        </w:tc>
        <w:tc>
          <w:tcPr>
            <w:tcW w:w="1268"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4C673030"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proofErr w:type="spellStart"/>
            <w:r w:rsidRPr="00296E53">
              <w:rPr>
                <w:rFonts w:ascii="Century Gothic" w:eastAsia="Times New Roman" w:hAnsi="Century Gothic" w:cs="Calibri"/>
                <w:color w:val="FFFFFF"/>
                <w:sz w:val="16"/>
                <w:szCs w:val="16"/>
                <w:lang w:val="en-US"/>
              </w:rPr>
              <w:t>Periodicidad</w:t>
            </w:r>
            <w:proofErr w:type="spellEnd"/>
          </w:p>
        </w:tc>
        <w:tc>
          <w:tcPr>
            <w:tcW w:w="2409"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2DB08AB7"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rPr>
            </w:pPr>
            <w:r w:rsidRPr="00296E53">
              <w:rPr>
                <w:rFonts w:ascii="Century Gothic" w:eastAsia="Times New Roman" w:hAnsi="Century Gothic" w:cs="Calibri"/>
                <w:color w:val="FFFFFF"/>
                <w:sz w:val="16"/>
                <w:szCs w:val="16"/>
              </w:rPr>
              <w:t>Número de ciclos con obligación de reportar indicadores en 2020</w:t>
            </w:r>
          </w:p>
        </w:tc>
        <w:tc>
          <w:tcPr>
            <w:tcW w:w="7069" w:type="dxa"/>
            <w:gridSpan w:val="9"/>
            <w:tcBorders>
              <w:top w:val="single" w:sz="8" w:space="0" w:color="A6A6A6"/>
              <w:left w:val="nil"/>
              <w:bottom w:val="single" w:sz="8" w:space="0" w:color="A6A6A6"/>
              <w:right w:val="single" w:sz="8" w:space="0" w:color="A6A6A6"/>
            </w:tcBorders>
            <w:shd w:val="clear" w:color="000000" w:fill="1F3864"/>
            <w:vAlign w:val="center"/>
            <w:hideMark/>
          </w:tcPr>
          <w:p w14:paraId="68C649D2"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rPr>
            </w:pPr>
            <w:r w:rsidRPr="00296E53">
              <w:rPr>
                <w:rFonts w:ascii="Century Gothic" w:eastAsia="Times New Roman" w:hAnsi="Century Gothic" w:cs="Calibri"/>
                <w:color w:val="FFFFFF"/>
                <w:sz w:val="16"/>
                <w:szCs w:val="16"/>
              </w:rPr>
              <w:t>Número de ciclos con indicadores</w:t>
            </w:r>
          </w:p>
        </w:tc>
      </w:tr>
      <w:tr w:rsidR="004C67A4" w:rsidRPr="00296E53" w14:paraId="31A8385B" w14:textId="77777777" w:rsidTr="006E2C19">
        <w:trPr>
          <w:trHeight w:val="300"/>
          <w:tblHeader/>
          <w:jc w:val="center"/>
        </w:trPr>
        <w:tc>
          <w:tcPr>
            <w:tcW w:w="1271" w:type="dxa"/>
            <w:vMerge/>
            <w:tcBorders>
              <w:top w:val="single" w:sz="8" w:space="0" w:color="A6A6A6"/>
              <w:left w:val="single" w:sz="8" w:space="0" w:color="A6A6A6"/>
              <w:bottom w:val="single" w:sz="8" w:space="0" w:color="A6A6A6"/>
              <w:right w:val="single" w:sz="8" w:space="0" w:color="A6A6A6"/>
            </w:tcBorders>
            <w:vAlign w:val="center"/>
            <w:hideMark/>
          </w:tcPr>
          <w:p w14:paraId="31DCA5C2" w14:textId="77777777" w:rsidR="006143D8" w:rsidRPr="00296E53" w:rsidRDefault="006143D8" w:rsidP="006143D8">
            <w:pPr>
              <w:spacing w:after="0" w:line="240" w:lineRule="auto"/>
              <w:rPr>
                <w:rFonts w:ascii="Century Gothic" w:eastAsia="Times New Roman" w:hAnsi="Century Gothic" w:cs="Calibri"/>
                <w:color w:val="FFFFFF"/>
                <w:sz w:val="16"/>
                <w:szCs w:val="16"/>
              </w:rPr>
            </w:pPr>
          </w:p>
        </w:tc>
        <w:tc>
          <w:tcPr>
            <w:tcW w:w="1563" w:type="dxa"/>
            <w:vMerge/>
            <w:tcBorders>
              <w:top w:val="single" w:sz="8" w:space="0" w:color="A6A6A6"/>
              <w:left w:val="single" w:sz="8" w:space="0" w:color="A6A6A6"/>
              <w:bottom w:val="single" w:sz="8" w:space="0" w:color="A6A6A6"/>
              <w:right w:val="single" w:sz="8" w:space="0" w:color="A6A6A6"/>
            </w:tcBorders>
            <w:vAlign w:val="center"/>
            <w:hideMark/>
          </w:tcPr>
          <w:p w14:paraId="78CFD2AC" w14:textId="77777777" w:rsidR="006143D8" w:rsidRPr="00296E53" w:rsidRDefault="006143D8" w:rsidP="006143D8">
            <w:pPr>
              <w:spacing w:after="0" w:line="240" w:lineRule="auto"/>
              <w:rPr>
                <w:rFonts w:ascii="Century Gothic" w:eastAsia="Times New Roman" w:hAnsi="Century Gothic" w:cs="Calibri"/>
                <w:color w:val="FFFFFF"/>
                <w:sz w:val="16"/>
                <w:szCs w:val="16"/>
              </w:rPr>
            </w:pPr>
          </w:p>
        </w:tc>
        <w:tc>
          <w:tcPr>
            <w:tcW w:w="1268" w:type="dxa"/>
            <w:vMerge/>
            <w:tcBorders>
              <w:top w:val="single" w:sz="8" w:space="0" w:color="A6A6A6"/>
              <w:left w:val="single" w:sz="8" w:space="0" w:color="A6A6A6"/>
              <w:bottom w:val="single" w:sz="8" w:space="0" w:color="A6A6A6"/>
              <w:right w:val="single" w:sz="8" w:space="0" w:color="A6A6A6"/>
            </w:tcBorders>
            <w:vAlign w:val="center"/>
            <w:hideMark/>
          </w:tcPr>
          <w:p w14:paraId="57D21076" w14:textId="77777777" w:rsidR="006143D8" w:rsidRPr="00296E53" w:rsidRDefault="006143D8" w:rsidP="006143D8">
            <w:pPr>
              <w:spacing w:after="0" w:line="240" w:lineRule="auto"/>
              <w:rPr>
                <w:rFonts w:ascii="Century Gothic" w:eastAsia="Times New Roman" w:hAnsi="Century Gothic" w:cs="Calibri"/>
                <w:color w:val="FFFFFF"/>
                <w:sz w:val="16"/>
                <w:szCs w:val="16"/>
              </w:rPr>
            </w:pPr>
          </w:p>
        </w:tc>
        <w:tc>
          <w:tcPr>
            <w:tcW w:w="2409" w:type="dxa"/>
            <w:vMerge/>
            <w:tcBorders>
              <w:top w:val="single" w:sz="8" w:space="0" w:color="A6A6A6"/>
              <w:left w:val="single" w:sz="8" w:space="0" w:color="A6A6A6"/>
              <w:bottom w:val="single" w:sz="8" w:space="0" w:color="A6A6A6"/>
              <w:right w:val="single" w:sz="8" w:space="0" w:color="A6A6A6"/>
            </w:tcBorders>
            <w:vAlign w:val="center"/>
            <w:hideMark/>
          </w:tcPr>
          <w:p w14:paraId="30CE6200" w14:textId="77777777" w:rsidR="006143D8" w:rsidRPr="00296E53" w:rsidRDefault="006143D8" w:rsidP="006143D8">
            <w:pPr>
              <w:spacing w:after="0" w:line="240" w:lineRule="auto"/>
              <w:rPr>
                <w:rFonts w:ascii="Century Gothic" w:eastAsia="Times New Roman" w:hAnsi="Century Gothic" w:cs="Calibri"/>
                <w:color w:val="FFFFFF"/>
                <w:sz w:val="16"/>
                <w:szCs w:val="16"/>
              </w:rPr>
            </w:pPr>
          </w:p>
        </w:tc>
        <w:tc>
          <w:tcPr>
            <w:tcW w:w="2977" w:type="dxa"/>
            <w:gridSpan w:val="4"/>
            <w:tcBorders>
              <w:top w:val="single" w:sz="8" w:space="0" w:color="A6A6A6"/>
              <w:left w:val="nil"/>
              <w:bottom w:val="single" w:sz="8" w:space="0" w:color="A6A6A6"/>
              <w:right w:val="single" w:sz="8" w:space="0" w:color="A6A6A6"/>
            </w:tcBorders>
            <w:shd w:val="clear" w:color="000000" w:fill="1F3864"/>
            <w:vAlign w:val="center"/>
            <w:hideMark/>
          </w:tcPr>
          <w:p w14:paraId="78925963"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proofErr w:type="spellStart"/>
            <w:r w:rsidRPr="00296E53">
              <w:rPr>
                <w:rFonts w:ascii="Century Gothic" w:eastAsia="Times New Roman" w:hAnsi="Century Gothic" w:cs="Calibri"/>
                <w:color w:val="FFFFFF"/>
                <w:sz w:val="16"/>
                <w:szCs w:val="16"/>
                <w:lang w:val="en-US"/>
              </w:rPr>
              <w:t>Uso</w:t>
            </w:r>
            <w:proofErr w:type="spellEnd"/>
            <w:r w:rsidRPr="00296E53">
              <w:rPr>
                <w:rFonts w:ascii="Century Gothic" w:eastAsia="Times New Roman" w:hAnsi="Century Gothic" w:cs="Calibri"/>
                <w:color w:val="FFFFFF"/>
                <w:sz w:val="16"/>
                <w:szCs w:val="16"/>
                <w:lang w:val="en-US"/>
              </w:rPr>
              <w:t xml:space="preserve"> </w:t>
            </w:r>
            <w:proofErr w:type="spellStart"/>
            <w:r w:rsidRPr="00296E53">
              <w:rPr>
                <w:rFonts w:ascii="Century Gothic" w:eastAsia="Times New Roman" w:hAnsi="Century Gothic" w:cs="Calibri"/>
                <w:color w:val="FFFFFF"/>
                <w:sz w:val="16"/>
                <w:szCs w:val="16"/>
                <w:lang w:val="en-US"/>
              </w:rPr>
              <w:t>externo</w:t>
            </w:r>
            <w:proofErr w:type="spellEnd"/>
          </w:p>
        </w:tc>
        <w:tc>
          <w:tcPr>
            <w:tcW w:w="4092" w:type="dxa"/>
            <w:gridSpan w:val="5"/>
            <w:tcBorders>
              <w:top w:val="single" w:sz="8" w:space="0" w:color="A6A6A6"/>
              <w:left w:val="nil"/>
              <w:bottom w:val="single" w:sz="8" w:space="0" w:color="A6A6A6"/>
              <w:right w:val="single" w:sz="8" w:space="0" w:color="A6A6A6"/>
            </w:tcBorders>
            <w:shd w:val="clear" w:color="000000" w:fill="1F3864"/>
            <w:vAlign w:val="center"/>
            <w:hideMark/>
          </w:tcPr>
          <w:p w14:paraId="217C1E6E"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proofErr w:type="spellStart"/>
            <w:r w:rsidRPr="00296E53">
              <w:rPr>
                <w:rFonts w:ascii="Century Gothic" w:eastAsia="Times New Roman" w:hAnsi="Century Gothic" w:cs="Calibri"/>
                <w:color w:val="FFFFFF"/>
                <w:sz w:val="16"/>
                <w:szCs w:val="16"/>
                <w:lang w:val="en-US"/>
              </w:rPr>
              <w:t>Uso</w:t>
            </w:r>
            <w:proofErr w:type="spellEnd"/>
            <w:r w:rsidRPr="00296E53">
              <w:rPr>
                <w:rFonts w:ascii="Century Gothic" w:eastAsia="Times New Roman" w:hAnsi="Century Gothic" w:cs="Calibri"/>
                <w:color w:val="FFFFFF"/>
                <w:sz w:val="16"/>
                <w:szCs w:val="16"/>
                <w:lang w:val="en-US"/>
              </w:rPr>
              <w:t xml:space="preserve"> </w:t>
            </w:r>
            <w:proofErr w:type="spellStart"/>
            <w:r w:rsidRPr="00296E53">
              <w:rPr>
                <w:rFonts w:ascii="Century Gothic" w:eastAsia="Times New Roman" w:hAnsi="Century Gothic" w:cs="Calibri"/>
                <w:color w:val="FFFFFF"/>
                <w:sz w:val="16"/>
                <w:szCs w:val="16"/>
                <w:lang w:val="en-US"/>
              </w:rPr>
              <w:t>interno</w:t>
            </w:r>
            <w:proofErr w:type="spellEnd"/>
          </w:p>
        </w:tc>
      </w:tr>
      <w:tr w:rsidR="006E2C19" w:rsidRPr="00296E53" w14:paraId="76F0F111" w14:textId="77777777" w:rsidTr="006E2C19">
        <w:trPr>
          <w:trHeight w:val="300"/>
          <w:tblHeader/>
          <w:jc w:val="center"/>
        </w:trPr>
        <w:tc>
          <w:tcPr>
            <w:tcW w:w="1271" w:type="dxa"/>
            <w:vMerge/>
            <w:tcBorders>
              <w:top w:val="single" w:sz="8" w:space="0" w:color="A6A6A6"/>
              <w:left w:val="single" w:sz="8" w:space="0" w:color="A6A6A6"/>
              <w:bottom w:val="single" w:sz="8" w:space="0" w:color="A6A6A6"/>
              <w:right w:val="single" w:sz="8" w:space="0" w:color="A6A6A6"/>
            </w:tcBorders>
            <w:vAlign w:val="center"/>
            <w:hideMark/>
          </w:tcPr>
          <w:p w14:paraId="1D86BF19" w14:textId="77777777" w:rsidR="006143D8" w:rsidRPr="00296E53" w:rsidRDefault="006143D8" w:rsidP="006143D8">
            <w:pPr>
              <w:spacing w:after="0" w:line="240" w:lineRule="auto"/>
              <w:rPr>
                <w:rFonts w:ascii="Century Gothic" w:eastAsia="Times New Roman" w:hAnsi="Century Gothic" w:cs="Calibri"/>
                <w:color w:val="FFFFFF"/>
                <w:sz w:val="16"/>
                <w:szCs w:val="16"/>
                <w:lang w:val="en-US"/>
              </w:rPr>
            </w:pPr>
          </w:p>
        </w:tc>
        <w:tc>
          <w:tcPr>
            <w:tcW w:w="1563" w:type="dxa"/>
            <w:vMerge/>
            <w:tcBorders>
              <w:top w:val="single" w:sz="8" w:space="0" w:color="A6A6A6"/>
              <w:left w:val="single" w:sz="8" w:space="0" w:color="A6A6A6"/>
              <w:bottom w:val="single" w:sz="8" w:space="0" w:color="A6A6A6"/>
              <w:right w:val="single" w:sz="8" w:space="0" w:color="A6A6A6"/>
            </w:tcBorders>
            <w:vAlign w:val="center"/>
            <w:hideMark/>
          </w:tcPr>
          <w:p w14:paraId="555DD2DC" w14:textId="77777777" w:rsidR="006143D8" w:rsidRPr="00296E53" w:rsidRDefault="006143D8" w:rsidP="006143D8">
            <w:pPr>
              <w:spacing w:after="0" w:line="240" w:lineRule="auto"/>
              <w:rPr>
                <w:rFonts w:ascii="Century Gothic" w:eastAsia="Times New Roman" w:hAnsi="Century Gothic" w:cs="Calibri"/>
                <w:color w:val="FFFFFF"/>
                <w:sz w:val="16"/>
                <w:szCs w:val="16"/>
                <w:lang w:val="en-US"/>
              </w:rPr>
            </w:pPr>
          </w:p>
        </w:tc>
        <w:tc>
          <w:tcPr>
            <w:tcW w:w="1268" w:type="dxa"/>
            <w:vMerge/>
            <w:tcBorders>
              <w:top w:val="single" w:sz="8" w:space="0" w:color="A6A6A6"/>
              <w:left w:val="single" w:sz="8" w:space="0" w:color="A6A6A6"/>
              <w:bottom w:val="single" w:sz="8" w:space="0" w:color="A6A6A6"/>
              <w:right w:val="single" w:sz="8" w:space="0" w:color="A6A6A6"/>
            </w:tcBorders>
            <w:vAlign w:val="center"/>
            <w:hideMark/>
          </w:tcPr>
          <w:p w14:paraId="0B6F2548" w14:textId="77777777" w:rsidR="006143D8" w:rsidRPr="00296E53" w:rsidRDefault="006143D8" w:rsidP="006143D8">
            <w:pPr>
              <w:spacing w:after="0" w:line="240" w:lineRule="auto"/>
              <w:rPr>
                <w:rFonts w:ascii="Century Gothic" w:eastAsia="Times New Roman" w:hAnsi="Century Gothic" w:cs="Calibri"/>
                <w:color w:val="FFFFFF"/>
                <w:sz w:val="16"/>
                <w:szCs w:val="16"/>
                <w:lang w:val="en-US"/>
              </w:rPr>
            </w:pPr>
          </w:p>
        </w:tc>
        <w:tc>
          <w:tcPr>
            <w:tcW w:w="2409" w:type="dxa"/>
            <w:vMerge/>
            <w:tcBorders>
              <w:top w:val="single" w:sz="8" w:space="0" w:color="A6A6A6"/>
              <w:left w:val="single" w:sz="8" w:space="0" w:color="A6A6A6"/>
              <w:bottom w:val="single" w:sz="8" w:space="0" w:color="A6A6A6"/>
              <w:right w:val="single" w:sz="8" w:space="0" w:color="A6A6A6"/>
            </w:tcBorders>
            <w:vAlign w:val="center"/>
            <w:hideMark/>
          </w:tcPr>
          <w:p w14:paraId="41F5E916" w14:textId="77777777" w:rsidR="006143D8" w:rsidRPr="00296E53" w:rsidRDefault="006143D8" w:rsidP="006143D8">
            <w:pPr>
              <w:spacing w:after="0" w:line="240" w:lineRule="auto"/>
              <w:rPr>
                <w:rFonts w:ascii="Century Gothic" w:eastAsia="Times New Roman" w:hAnsi="Century Gothic" w:cs="Calibri"/>
                <w:color w:val="FFFFFF"/>
                <w:sz w:val="16"/>
                <w:szCs w:val="16"/>
                <w:lang w:val="en-US"/>
              </w:rPr>
            </w:pPr>
          </w:p>
        </w:tc>
        <w:tc>
          <w:tcPr>
            <w:tcW w:w="709" w:type="dxa"/>
            <w:tcBorders>
              <w:top w:val="nil"/>
              <w:left w:val="nil"/>
              <w:bottom w:val="single" w:sz="8" w:space="0" w:color="A6A6A6"/>
              <w:right w:val="single" w:sz="8" w:space="0" w:color="A6A6A6"/>
            </w:tcBorders>
            <w:shd w:val="clear" w:color="000000" w:fill="1F3864"/>
            <w:vAlign w:val="center"/>
            <w:hideMark/>
          </w:tcPr>
          <w:p w14:paraId="11FBD819"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CV</w:t>
            </w:r>
          </w:p>
        </w:tc>
        <w:tc>
          <w:tcPr>
            <w:tcW w:w="708" w:type="dxa"/>
            <w:tcBorders>
              <w:top w:val="nil"/>
              <w:left w:val="nil"/>
              <w:bottom w:val="single" w:sz="8" w:space="0" w:color="A6A6A6"/>
              <w:right w:val="single" w:sz="8" w:space="0" w:color="A6A6A6"/>
            </w:tcBorders>
            <w:shd w:val="clear" w:color="000000" w:fill="1F3864"/>
            <w:vAlign w:val="center"/>
            <w:hideMark/>
          </w:tcPr>
          <w:p w14:paraId="059DE82A"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SE</w:t>
            </w:r>
          </w:p>
        </w:tc>
        <w:tc>
          <w:tcPr>
            <w:tcW w:w="709" w:type="dxa"/>
            <w:tcBorders>
              <w:top w:val="nil"/>
              <w:left w:val="nil"/>
              <w:bottom w:val="single" w:sz="8" w:space="0" w:color="A6A6A6"/>
              <w:right w:val="single" w:sz="8" w:space="0" w:color="A6A6A6"/>
            </w:tcBorders>
            <w:shd w:val="clear" w:color="000000" w:fill="1F3864"/>
            <w:vAlign w:val="center"/>
            <w:hideMark/>
          </w:tcPr>
          <w:p w14:paraId="15E045C3"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IC</w:t>
            </w:r>
          </w:p>
        </w:tc>
        <w:tc>
          <w:tcPr>
            <w:tcW w:w="851" w:type="dxa"/>
            <w:tcBorders>
              <w:top w:val="nil"/>
              <w:left w:val="nil"/>
              <w:bottom w:val="single" w:sz="8" w:space="0" w:color="A6A6A6"/>
              <w:right w:val="single" w:sz="8" w:space="0" w:color="A6A6A6"/>
            </w:tcBorders>
            <w:shd w:val="clear" w:color="000000" w:fill="1F3864"/>
            <w:vAlign w:val="center"/>
            <w:hideMark/>
          </w:tcPr>
          <w:p w14:paraId="57E10DA6" w14:textId="67D14CCD"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CD</w:t>
            </w:r>
          </w:p>
        </w:tc>
        <w:tc>
          <w:tcPr>
            <w:tcW w:w="850" w:type="dxa"/>
            <w:tcBorders>
              <w:top w:val="nil"/>
              <w:left w:val="nil"/>
              <w:bottom w:val="single" w:sz="8" w:space="0" w:color="A6A6A6"/>
              <w:right w:val="single" w:sz="8" w:space="0" w:color="A6A6A6"/>
            </w:tcBorders>
            <w:shd w:val="clear" w:color="000000" w:fill="1F3864"/>
            <w:vAlign w:val="center"/>
            <w:hideMark/>
          </w:tcPr>
          <w:p w14:paraId="6FD581E7"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TNRAI</w:t>
            </w:r>
          </w:p>
        </w:tc>
        <w:tc>
          <w:tcPr>
            <w:tcW w:w="992" w:type="dxa"/>
            <w:tcBorders>
              <w:top w:val="nil"/>
              <w:left w:val="nil"/>
              <w:bottom w:val="single" w:sz="8" w:space="0" w:color="A6A6A6"/>
              <w:right w:val="single" w:sz="8" w:space="0" w:color="A6A6A6"/>
            </w:tcBorders>
            <w:shd w:val="clear" w:color="000000" w:fill="1F3864"/>
            <w:vAlign w:val="center"/>
            <w:hideMark/>
          </w:tcPr>
          <w:p w14:paraId="6CE56AA2"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TCMM</w:t>
            </w:r>
          </w:p>
        </w:tc>
        <w:tc>
          <w:tcPr>
            <w:tcW w:w="851" w:type="dxa"/>
            <w:tcBorders>
              <w:top w:val="nil"/>
              <w:left w:val="nil"/>
              <w:bottom w:val="single" w:sz="8" w:space="0" w:color="A6A6A6"/>
              <w:right w:val="single" w:sz="8" w:space="0" w:color="A6A6A6"/>
            </w:tcBorders>
            <w:shd w:val="clear" w:color="000000" w:fill="1F3864"/>
            <w:vAlign w:val="center"/>
            <w:hideMark/>
          </w:tcPr>
          <w:p w14:paraId="3838C276"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TNRDI</w:t>
            </w:r>
          </w:p>
        </w:tc>
        <w:tc>
          <w:tcPr>
            <w:tcW w:w="709" w:type="dxa"/>
            <w:tcBorders>
              <w:top w:val="nil"/>
              <w:left w:val="nil"/>
              <w:bottom w:val="single" w:sz="8" w:space="0" w:color="A6A6A6"/>
              <w:right w:val="single" w:sz="8" w:space="0" w:color="A6A6A6"/>
            </w:tcBorders>
            <w:shd w:val="clear" w:color="000000" w:fill="1F3864"/>
            <w:vAlign w:val="center"/>
            <w:hideMark/>
          </w:tcPr>
          <w:p w14:paraId="7488FB36"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TI</w:t>
            </w:r>
          </w:p>
        </w:tc>
        <w:tc>
          <w:tcPr>
            <w:tcW w:w="690" w:type="dxa"/>
            <w:tcBorders>
              <w:top w:val="nil"/>
              <w:left w:val="nil"/>
              <w:bottom w:val="single" w:sz="8" w:space="0" w:color="A6A6A6"/>
              <w:right w:val="single" w:sz="8" w:space="0" w:color="A6A6A6"/>
            </w:tcBorders>
            <w:shd w:val="clear" w:color="000000" w:fill="1F3864"/>
            <w:vAlign w:val="center"/>
            <w:hideMark/>
          </w:tcPr>
          <w:p w14:paraId="461A385C"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TSC</w:t>
            </w:r>
          </w:p>
        </w:tc>
      </w:tr>
      <w:tr w:rsidR="006E2C19" w:rsidRPr="00296E53" w14:paraId="3827B276"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145D1C9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531F0A80"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   EMIM</w:t>
            </w:r>
          </w:p>
        </w:tc>
        <w:tc>
          <w:tcPr>
            <w:tcW w:w="1268" w:type="dxa"/>
            <w:tcBorders>
              <w:top w:val="nil"/>
              <w:left w:val="nil"/>
              <w:bottom w:val="single" w:sz="8" w:space="0" w:color="A6A6A6"/>
              <w:right w:val="single" w:sz="8" w:space="0" w:color="A6A6A6"/>
            </w:tcBorders>
            <w:shd w:val="clear" w:color="000000" w:fill="C5EAFF"/>
            <w:vAlign w:val="center"/>
            <w:hideMark/>
          </w:tcPr>
          <w:p w14:paraId="68E2A01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Mensual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5923CEF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4DC8DB2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000000" w:fill="C5EAFF"/>
            <w:vAlign w:val="center"/>
            <w:hideMark/>
          </w:tcPr>
          <w:p w14:paraId="2D8C9B8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06371F2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0BB3BD5E"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0974859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000000" w:fill="C5EAFF"/>
            <w:vAlign w:val="center"/>
            <w:hideMark/>
          </w:tcPr>
          <w:p w14:paraId="5635751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5BD952D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3B4BBC0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000000" w:fill="C5EAFF"/>
            <w:vAlign w:val="center"/>
            <w:hideMark/>
          </w:tcPr>
          <w:p w14:paraId="63791BA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r>
      <w:tr w:rsidR="006E2C19" w:rsidRPr="00296E53" w14:paraId="434500F1"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65F620F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2E5ADA14"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   EMS</w:t>
            </w:r>
          </w:p>
        </w:tc>
        <w:tc>
          <w:tcPr>
            <w:tcW w:w="1268" w:type="dxa"/>
            <w:tcBorders>
              <w:top w:val="nil"/>
              <w:left w:val="nil"/>
              <w:bottom w:val="single" w:sz="8" w:space="0" w:color="A6A6A6"/>
              <w:right w:val="single" w:sz="8" w:space="0" w:color="A6A6A6"/>
            </w:tcBorders>
            <w:shd w:val="clear" w:color="auto" w:fill="auto"/>
            <w:vAlign w:val="center"/>
            <w:hideMark/>
          </w:tcPr>
          <w:p w14:paraId="6E6CF5E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Mensual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6522611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72F3251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auto" w:fill="auto"/>
            <w:vAlign w:val="center"/>
            <w:hideMark/>
          </w:tcPr>
          <w:p w14:paraId="74E2C19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3A2A915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auto" w:fill="auto"/>
            <w:vAlign w:val="center"/>
            <w:hideMark/>
          </w:tcPr>
          <w:p w14:paraId="0E172A80"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29C62D3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auto" w:fill="auto"/>
            <w:vAlign w:val="center"/>
            <w:hideMark/>
          </w:tcPr>
          <w:p w14:paraId="32C08F9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auto" w:fill="auto"/>
            <w:vAlign w:val="center"/>
            <w:hideMark/>
          </w:tcPr>
          <w:p w14:paraId="20513EB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67DFC86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auto" w:fill="auto"/>
            <w:vAlign w:val="center"/>
            <w:hideMark/>
          </w:tcPr>
          <w:p w14:paraId="0F18BE3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r>
      <w:tr w:rsidR="006E2C19" w:rsidRPr="00296E53" w14:paraId="7F82E7DF"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4941FEA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03D35C76"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   EMEC</w:t>
            </w:r>
          </w:p>
        </w:tc>
        <w:tc>
          <w:tcPr>
            <w:tcW w:w="1268" w:type="dxa"/>
            <w:tcBorders>
              <w:top w:val="nil"/>
              <w:left w:val="nil"/>
              <w:bottom w:val="single" w:sz="8" w:space="0" w:color="A6A6A6"/>
              <w:right w:val="single" w:sz="8" w:space="0" w:color="A6A6A6"/>
            </w:tcBorders>
            <w:shd w:val="clear" w:color="000000" w:fill="C5EAFF"/>
            <w:vAlign w:val="center"/>
            <w:hideMark/>
          </w:tcPr>
          <w:p w14:paraId="5E8EBDC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Mensual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2513943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7B2A1E2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000000" w:fill="C5EAFF"/>
            <w:vAlign w:val="center"/>
            <w:hideMark/>
          </w:tcPr>
          <w:p w14:paraId="19D2C68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4616401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5EA4BA05"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7081369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000000" w:fill="C5EAFF"/>
            <w:vAlign w:val="center"/>
            <w:hideMark/>
          </w:tcPr>
          <w:p w14:paraId="28184AD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46FB3FD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2FCC137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000000" w:fill="C5EAFF"/>
            <w:vAlign w:val="center"/>
            <w:hideMark/>
          </w:tcPr>
          <w:p w14:paraId="43145EB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r>
      <w:tr w:rsidR="006E2C19" w:rsidRPr="00296E53" w14:paraId="2EC36736"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5C06623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7BF23908"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4.   ENEC</w:t>
            </w:r>
          </w:p>
        </w:tc>
        <w:tc>
          <w:tcPr>
            <w:tcW w:w="1268" w:type="dxa"/>
            <w:tcBorders>
              <w:top w:val="nil"/>
              <w:left w:val="nil"/>
              <w:bottom w:val="single" w:sz="8" w:space="0" w:color="A6A6A6"/>
              <w:right w:val="single" w:sz="8" w:space="0" w:color="A6A6A6"/>
            </w:tcBorders>
            <w:shd w:val="clear" w:color="auto" w:fill="auto"/>
            <w:vAlign w:val="center"/>
            <w:hideMark/>
          </w:tcPr>
          <w:p w14:paraId="1682E77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Mensual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36F56D2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00697D9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auto" w:fill="auto"/>
            <w:vAlign w:val="center"/>
            <w:hideMark/>
          </w:tcPr>
          <w:p w14:paraId="6A03A61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29081FA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auto" w:fill="auto"/>
            <w:vAlign w:val="center"/>
            <w:hideMark/>
          </w:tcPr>
          <w:p w14:paraId="37B2C9E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60F81E9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auto" w:fill="auto"/>
            <w:vAlign w:val="center"/>
            <w:hideMark/>
          </w:tcPr>
          <w:p w14:paraId="29B9B2B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auto" w:fill="auto"/>
            <w:vAlign w:val="center"/>
            <w:hideMark/>
          </w:tcPr>
          <w:p w14:paraId="5409CAA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16AF6C8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auto" w:fill="auto"/>
            <w:vAlign w:val="center"/>
            <w:hideMark/>
          </w:tcPr>
          <w:p w14:paraId="62E2B84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r>
      <w:tr w:rsidR="006E2C19" w:rsidRPr="00296E53" w14:paraId="256A1D4C"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195B550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5FDA32FA"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5.   EMOE</w:t>
            </w:r>
          </w:p>
        </w:tc>
        <w:tc>
          <w:tcPr>
            <w:tcW w:w="1268" w:type="dxa"/>
            <w:tcBorders>
              <w:top w:val="nil"/>
              <w:left w:val="nil"/>
              <w:bottom w:val="single" w:sz="8" w:space="0" w:color="A6A6A6"/>
              <w:right w:val="single" w:sz="8" w:space="0" w:color="A6A6A6"/>
            </w:tcBorders>
            <w:shd w:val="clear" w:color="000000" w:fill="C5EAFF"/>
            <w:vAlign w:val="center"/>
            <w:hideMark/>
          </w:tcPr>
          <w:p w14:paraId="50E2929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Mensual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1F1D6DD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470A93B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000000" w:fill="C5EAFF"/>
            <w:vAlign w:val="center"/>
            <w:hideMark/>
          </w:tcPr>
          <w:p w14:paraId="7BD0999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0CA0D06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1066FEC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 xml:space="preserve">NA </w:t>
            </w:r>
          </w:p>
        </w:tc>
        <w:tc>
          <w:tcPr>
            <w:tcW w:w="850" w:type="dxa"/>
            <w:tcBorders>
              <w:top w:val="nil"/>
              <w:left w:val="nil"/>
              <w:bottom w:val="single" w:sz="8" w:space="0" w:color="A6A6A6"/>
              <w:right w:val="single" w:sz="8" w:space="0" w:color="A6A6A6"/>
            </w:tcBorders>
            <w:shd w:val="clear" w:color="000000" w:fill="C5EAFF"/>
            <w:vAlign w:val="center"/>
            <w:hideMark/>
          </w:tcPr>
          <w:p w14:paraId="5A4883C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000000" w:fill="C5EAFF"/>
            <w:vAlign w:val="center"/>
            <w:hideMark/>
          </w:tcPr>
          <w:p w14:paraId="2AF3B28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62147A9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46B10B9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000000" w:fill="C5EAFF"/>
            <w:vAlign w:val="center"/>
            <w:hideMark/>
          </w:tcPr>
          <w:p w14:paraId="111673E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r>
      <w:tr w:rsidR="006E2C19" w:rsidRPr="00296E53" w14:paraId="1B6B499F"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72F2AA0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62728C76"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6.   EAEC</w:t>
            </w:r>
          </w:p>
        </w:tc>
        <w:tc>
          <w:tcPr>
            <w:tcW w:w="1268" w:type="dxa"/>
            <w:tcBorders>
              <w:top w:val="nil"/>
              <w:left w:val="nil"/>
              <w:bottom w:val="single" w:sz="8" w:space="0" w:color="A6A6A6"/>
              <w:right w:val="single" w:sz="8" w:space="0" w:color="A6A6A6"/>
            </w:tcBorders>
            <w:shd w:val="clear" w:color="auto" w:fill="auto"/>
            <w:vAlign w:val="center"/>
            <w:hideMark/>
          </w:tcPr>
          <w:p w14:paraId="5F837FA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52C616D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146828A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7AEB642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336D364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7FC932F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64B50565"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0F9CE19D"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1088096C"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4DDE2F5A"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690" w:type="dxa"/>
            <w:tcBorders>
              <w:top w:val="nil"/>
              <w:left w:val="nil"/>
              <w:bottom w:val="single" w:sz="8" w:space="0" w:color="A6A6A6"/>
              <w:right w:val="single" w:sz="8" w:space="0" w:color="A6A6A6"/>
            </w:tcBorders>
            <w:shd w:val="clear" w:color="auto" w:fill="auto"/>
            <w:vAlign w:val="center"/>
            <w:hideMark/>
          </w:tcPr>
          <w:p w14:paraId="5FCB7599"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r>
      <w:tr w:rsidR="006E2C19" w:rsidRPr="00296E53" w14:paraId="1624CED3"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7DF426D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1A82C3ED"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7.   EAC</w:t>
            </w:r>
          </w:p>
        </w:tc>
        <w:tc>
          <w:tcPr>
            <w:tcW w:w="1268" w:type="dxa"/>
            <w:tcBorders>
              <w:top w:val="nil"/>
              <w:left w:val="nil"/>
              <w:bottom w:val="single" w:sz="8" w:space="0" w:color="A6A6A6"/>
              <w:right w:val="single" w:sz="8" w:space="0" w:color="A6A6A6"/>
            </w:tcBorders>
            <w:shd w:val="clear" w:color="000000" w:fill="C5EAFF"/>
            <w:vAlign w:val="center"/>
            <w:hideMark/>
          </w:tcPr>
          <w:p w14:paraId="25A3090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7A9E38A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22EFE96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000000" w:fill="C5EAFF"/>
            <w:vAlign w:val="center"/>
            <w:hideMark/>
          </w:tcPr>
          <w:p w14:paraId="68D92D8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6EB4F84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2FA579E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7A42A972"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6A6B7764"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37D036A2"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49CCAFA1"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4C7A97F7"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E2C19" w:rsidRPr="00296E53" w14:paraId="30DD5D69"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1D1F444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538C1B08"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   EAT</w:t>
            </w:r>
          </w:p>
        </w:tc>
        <w:tc>
          <w:tcPr>
            <w:tcW w:w="1268" w:type="dxa"/>
            <w:tcBorders>
              <w:top w:val="nil"/>
              <w:left w:val="nil"/>
              <w:bottom w:val="single" w:sz="8" w:space="0" w:color="A6A6A6"/>
              <w:right w:val="single" w:sz="8" w:space="0" w:color="A6A6A6"/>
            </w:tcBorders>
            <w:shd w:val="clear" w:color="auto" w:fill="auto"/>
            <w:vAlign w:val="center"/>
            <w:hideMark/>
          </w:tcPr>
          <w:p w14:paraId="40F5F2A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366B987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58C5AB6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324C9C6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4017FD8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7366A23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43695D29"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auto" w:fill="auto"/>
            <w:vAlign w:val="center"/>
            <w:hideMark/>
          </w:tcPr>
          <w:p w14:paraId="3C27D79E"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auto" w:fill="auto"/>
            <w:vAlign w:val="center"/>
            <w:hideMark/>
          </w:tcPr>
          <w:p w14:paraId="5F87AD8D"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7319DC4D"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42256D42"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E2C19" w:rsidRPr="00296E53" w14:paraId="1A22DF23"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3755563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5FD96A59"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9.   EASPNF</w:t>
            </w:r>
          </w:p>
        </w:tc>
        <w:tc>
          <w:tcPr>
            <w:tcW w:w="1268" w:type="dxa"/>
            <w:tcBorders>
              <w:top w:val="nil"/>
              <w:left w:val="nil"/>
              <w:bottom w:val="single" w:sz="8" w:space="0" w:color="A6A6A6"/>
              <w:right w:val="single" w:sz="8" w:space="0" w:color="A6A6A6"/>
            </w:tcBorders>
            <w:shd w:val="clear" w:color="000000" w:fill="C5EAFF"/>
            <w:vAlign w:val="center"/>
            <w:hideMark/>
          </w:tcPr>
          <w:p w14:paraId="32D1C78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34E04EC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1C3BD04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000000" w:fill="C5EAFF"/>
            <w:vAlign w:val="center"/>
            <w:hideMark/>
          </w:tcPr>
          <w:p w14:paraId="3DB1604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58C63CC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4816B41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2A071A90"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6D92E219"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36F8C67A"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00E317A8"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230F39A3"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E2C19" w:rsidRPr="00296E53" w14:paraId="43561A67"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46D6F42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3F625C38"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10.   EAIM</w:t>
            </w:r>
          </w:p>
        </w:tc>
        <w:tc>
          <w:tcPr>
            <w:tcW w:w="1268" w:type="dxa"/>
            <w:tcBorders>
              <w:top w:val="nil"/>
              <w:left w:val="nil"/>
              <w:bottom w:val="single" w:sz="8" w:space="0" w:color="A6A6A6"/>
              <w:right w:val="single" w:sz="8" w:space="0" w:color="A6A6A6"/>
            </w:tcBorders>
            <w:shd w:val="clear" w:color="auto" w:fill="auto"/>
            <w:vAlign w:val="center"/>
            <w:hideMark/>
          </w:tcPr>
          <w:p w14:paraId="3B78A7D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1ECC82C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26C10C2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56FC903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323613A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5F9BEC6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7BC9920B"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7EF4B3A4"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0C9CA054"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FBF72D5"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690" w:type="dxa"/>
            <w:tcBorders>
              <w:top w:val="nil"/>
              <w:left w:val="nil"/>
              <w:bottom w:val="single" w:sz="8" w:space="0" w:color="A6A6A6"/>
              <w:right w:val="single" w:sz="8" w:space="0" w:color="A6A6A6"/>
            </w:tcBorders>
            <w:shd w:val="clear" w:color="auto" w:fill="auto"/>
            <w:vAlign w:val="center"/>
            <w:hideMark/>
          </w:tcPr>
          <w:p w14:paraId="1EA537B0"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r>
      <w:tr w:rsidR="006E2C19" w:rsidRPr="00296E53" w14:paraId="03C59E90"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593FB57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auto" w:fill="auto"/>
            <w:vAlign w:val="center"/>
            <w:hideMark/>
          </w:tcPr>
          <w:p w14:paraId="7C224E9A"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11.   ENOE</w:t>
            </w:r>
          </w:p>
        </w:tc>
        <w:tc>
          <w:tcPr>
            <w:tcW w:w="1268" w:type="dxa"/>
            <w:tcBorders>
              <w:top w:val="nil"/>
              <w:left w:val="nil"/>
              <w:bottom w:val="single" w:sz="8" w:space="0" w:color="A6A6A6"/>
              <w:right w:val="single" w:sz="8" w:space="0" w:color="A6A6A6"/>
            </w:tcBorders>
            <w:shd w:val="clear" w:color="auto" w:fill="auto"/>
            <w:vAlign w:val="center"/>
            <w:hideMark/>
          </w:tcPr>
          <w:p w14:paraId="4B2E741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Trimestral</w:t>
            </w:r>
          </w:p>
        </w:tc>
        <w:tc>
          <w:tcPr>
            <w:tcW w:w="2409" w:type="dxa"/>
            <w:tcBorders>
              <w:top w:val="nil"/>
              <w:left w:val="nil"/>
              <w:bottom w:val="single" w:sz="8" w:space="0" w:color="A6A6A6"/>
              <w:right w:val="single" w:sz="8" w:space="0" w:color="A6A6A6"/>
            </w:tcBorders>
            <w:shd w:val="clear" w:color="auto" w:fill="auto"/>
            <w:vAlign w:val="center"/>
            <w:hideMark/>
          </w:tcPr>
          <w:p w14:paraId="5029544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w:t>
            </w:r>
          </w:p>
        </w:tc>
        <w:tc>
          <w:tcPr>
            <w:tcW w:w="709" w:type="dxa"/>
            <w:tcBorders>
              <w:top w:val="nil"/>
              <w:left w:val="nil"/>
              <w:bottom w:val="single" w:sz="8" w:space="0" w:color="A6A6A6"/>
              <w:right w:val="single" w:sz="8" w:space="0" w:color="A6A6A6"/>
            </w:tcBorders>
            <w:shd w:val="clear" w:color="auto" w:fill="auto"/>
            <w:vAlign w:val="center"/>
            <w:hideMark/>
          </w:tcPr>
          <w:p w14:paraId="5C92F62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w:t>
            </w:r>
          </w:p>
        </w:tc>
        <w:tc>
          <w:tcPr>
            <w:tcW w:w="708" w:type="dxa"/>
            <w:tcBorders>
              <w:top w:val="nil"/>
              <w:left w:val="nil"/>
              <w:bottom w:val="single" w:sz="8" w:space="0" w:color="A6A6A6"/>
              <w:right w:val="single" w:sz="8" w:space="0" w:color="A6A6A6"/>
            </w:tcBorders>
            <w:shd w:val="clear" w:color="auto" w:fill="auto"/>
            <w:vAlign w:val="center"/>
            <w:hideMark/>
          </w:tcPr>
          <w:p w14:paraId="0CFAA95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w:t>
            </w:r>
          </w:p>
        </w:tc>
        <w:tc>
          <w:tcPr>
            <w:tcW w:w="709" w:type="dxa"/>
            <w:tcBorders>
              <w:top w:val="nil"/>
              <w:left w:val="nil"/>
              <w:bottom w:val="single" w:sz="8" w:space="0" w:color="A6A6A6"/>
              <w:right w:val="single" w:sz="8" w:space="0" w:color="A6A6A6"/>
            </w:tcBorders>
            <w:shd w:val="clear" w:color="auto" w:fill="auto"/>
            <w:vAlign w:val="center"/>
            <w:hideMark/>
          </w:tcPr>
          <w:p w14:paraId="073E25C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w:t>
            </w:r>
          </w:p>
        </w:tc>
        <w:tc>
          <w:tcPr>
            <w:tcW w:w="851" w:type="dxa"/>
            <w:tcBorders>
              <w:top w:val="nil"/>
              <w:left w:val="nil"/>
              <w:bottom w:val="single" w:sz="8" w:space="0" w:color="A6A6A6"/>
              <w:right w:val="single" w:sz="8" w:space="0" w:color="A6A6A6"/>
            </w:tcBorders>
            <w:shd w:val="clear" w:color="auto" w:fill="auto"/>
            <w:vAlign w:val="center"/>
            <w:hideMark/>
          </w:tcPr>
          <w:p w14:paraId="763CE4B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19201A81"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2</w:t>
            </w:r>
          </w:p>
        </w:tc>
        <w:tc>
          <w:tcPr>
            <w:tcW w:w="992" w:type="dxa"/>
            <w:tcBorders>
              <w:top w:val="nil"/>
              <w:left w:val="nil"/>
              <w:bottom w:val="single" w:sz="8" w:space="0" w:color="A6A6A6"/>
              <w:right w:val="single" w:sz="8" w:space="0" w:color="A6A6A6"/>
            </w:tcBorders>
            <w:shd w:val="clear" w:color="auto" w:fill="auto"/>
            <w:vAlign w:val="center"/>
            <w:hideMark/>
          </w:tcPr>
          <w:p w14:paraId="7FA57371"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2</w:t>
            </w:r>
          </w:p>
        </w:tc>
        <w:tc>
          <w:tcPr>
            <w:tcW w:w="851" w:type="dxa"/>
            <w:tcBorders>
              <w:top w:val="nil"/>
              <w:left w:val="nil"/>
              <w:bottom w:val="single" w:sz="8" w:space="0" w:color="A6A6A6"/>
              <w:right w:val="single" w:sz="8" w:space="0" w:color="A6A6A6"/>
            </w:tcBorders>
            <w:shd w:val="clear" w:color="auto" w:fill="auto"/>
            <w:vAlign w:val="center"/>
            <w:hideMark/>
          </w:tcPr>
          <w:p w14:paraId="094AB92E"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12AEC865"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564A8463"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2</w:t>
            </w:r>
          </w:p>
        </w:tc>
      </w:tr>
      <w:tr w:rsidR="006E2C19" w:rsidRPr="00296E53" w14:paraId="1AA290FA"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4F60B08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000000" w:fill="C5EAFF"/>
            <w:vAlign w:val="center"/>
            <w:hideMark/>
          </w:tcPr>
          <w:p w14:paraId="4B624B45"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   ENCO</w:t>
            </w:r>
          </w:p>
        </w:tc>
        <w:tc>
          <w:tcPr>
            <w:tcW w:w="1268" w:type="dxa"/>
            <w:tcBorders>
              <w:top w:val="nil"/>
              <w:left w:val="nil"/>
              <w:bottom w:val="single" w:sz="8" w:space="0" w:color="A6A6A6"/>
              <w:right w:val="single" w:sz="8" w:space="0" w:color="A6A6A6"/>
            </w:tcBorders>
            <w:shd w:val="clear" w:color="000000" w:fill="C5EAFF"/>
            <w:vAlign w:val="center"/>
            <w:hideMark/>
          </w:tcPr>
          <w:p w14:paraId="14EE706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Mensual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1A5C080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c>
          <w:tcPr>
            <w:tcW w:w="709" w:type="dxa"/>
            <w:tcBorders>
              <w:top w:val="nil"/>
              <w:left w:val="nil"/>
              <w:bottom w:val="single" w:sz="8" w:space="0" w:color="A6A6A6"/>
              <w:right w:val="single" w:sz="8" w:space="0" w:color="A6A6A6"/>
            </w:tcBorders>
            <w:shd w:val="clear" w:color="000000" w:fill="C5EAFF"/>
            <w:vAlign w:val="center"/>
            <w:hideMark/>
          </w:tcPr>
          <w:p w14:paraId="57AD974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c>
          <w:tcPr>
            <w:tcW w:w="708" w:type="dxa"/>
            <w:tcBorders>
              <w:top w:val="nil"/>
              <w:left w:val="nil"/>
              <w:bottom w:val="single" w:sz="8" w:space="0" w:color="A6A6A6"/>
              <w:right w:val="single" w:sz="8" w:space="0" w:color="A6A6A6"/>
            </w:tcBorders>
            <w:shd w:val="clear" w:color="000000" w:fill="C5EAFF"/>
            <w:vAlign w:val="center"/>
            <w:hideMark/>
          </w:tcPr>
          <w:p w14:paraId="3990DC8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c>
          <w:tcPr>
            <w:tcW w:w="709" w:type="dxa"/>
            <w:tcBorders>
              <w:top w:val="nil"/>
              <w:left w:val="nil"/>
              <w:bottom w:val="single" w:sz="8" w:space="0" w:color="A6A6A6"/>
              <w:right w:val="single" w:sz="8" w:space="0" w:color="A6A6A6"/>
            </w:tcBorders>
            <w:shd w:val="clear" w:color="000000" w:fill="C5EAFF"/>
            <w:vAlign w:val="center"/>
            <w:hideMark/>
          </w:tcPr>
          <w:p w14:paraId="0569E6B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c>
          <w:tcPr>
            <w:tcW w:w="851" w:type="dxa"/>
            <w:tcBorders>
              <w:top w:val="nil"/>
              <w:left w:val="nil"/>
              <w:bottom w:val="single" w:sz="8" w:space="0" w:color="A6A6A6"/>
              <w:right w:val="single" w:sz="8" w:space="0" w:color="A6A6A6"/>
            </w:tcBorders>
            <w:shd w:val="clear" w:color="000000" w:fill="C5EAFF"/>
            <w:vAlign w:val="center"/>
            <w:hideMark/>
          </w:tcPr>
          <w:p w14:paraId="4AC3C32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5321B6F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c>
          <w:tcPr>
            <w:tcW w:w="992" w:type="dxa"/>
            <w:tcBorders>
              <w:top w:val="nil"/>
              <w:left w:val="nil"/>
              <w:bottom w:val="single" w:sz="8" w:space="0" w:color="A6A6A6"/>
              <w:right w:val="single" w:sz="8" w:space="0" w:color="A6A6A6"/>
            </w:tcBorders>
            <w:shd w:val="clear" w:color="000000" w:fill="C5EAFF"/>
            <w:vAlign w:val="center"/>
            <w:hideMark/>
          </w:tcPr>
          <w:p w14:paraId="4F75ADE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c>
          <w:tcPr>
            <w:tcW w:w="851" w:type="dxa"/>
            <w:tcBorders>
              <w:top w:val="nil"/>
              <w:left w:val="nil"/>
              <w:bottom w:val="single" w:sz="8" w:space="0" w:color="A6A6A6"/>
              <w:right w:val="single" w:sz="8" w:space="0" w:color="A6A6A6"/>
            </w:tcBorders>
            <w:shd w:val="clear" w:color="000000" w:fill="C5EAFF"/>
            <w:vAlign w:val="center"/>
            <w:hideMark/>
          </w:tcPr>
          <w:p w14:paraId="709D2DEA"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58F75049"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22CFD81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r>
      <w:tr w:rsidR="006E2C19" w:rsidRPr="00296E53" w14:paraId="7F8A84FE"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69A0826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auto" w:fill="auto"/>
            <w:vAlign w:val="center"/>
            <w:hideMark/>
          </w:tcPr>
          <w:p w14:paraId="4DB6F950"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13.   MOPRADEF</w:t>
            </w:r>
          </w:p>
        </w:tc>
        <w:tc>
          <w:tcPr>
            <w:tcW w:w="1268" w:type="dxa"/>
            <w:tcBorders>
              <w:top w:val="nil"/>
              <w:left w:val="nil"/>
              <w:bottom w:val="single" w:sz="8" w:space="0" w:color="A6A6A6"/>
              <w:right w:val="single" w:sz="8" w:space="0" w:color="A6A6A6"/>
            </w:tcBorders>
            <w:shd w:val="clear" w:color="auto" w:fill="auto"/>
            <w:vAlign w:val="center"/>
            <w:hideMark/>
          </w:tcPr>
          <w:p w14:paraId="7F875AB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06B0D4F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48E7969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7789374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619CA5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06749D6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42C7A04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7F5BD90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01A174E1"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2A0D8A1F"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64788B7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E2C19" w:rsidRPr="00296E53" w14:paraId="20BC5F1D"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001CEE1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000000" w:fill="C5EAFF"/>
            <w:vAlign w:val="center"/>
            <w:hideMark/>
          </w:tcPr>
          <w:p w14:paraId="70E614A8"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14.   MODECULT</w:t>
            </w:r>
          </w:p>
        </w:tc>
        <w:tc>
          <w:tcPr>
            <w:tcW w:w="1268" w:type="dxa"/>
            <w:tcBorders>
              <w:top w:val="nil"/>
              <w:left w:val="nil"/>
              <w:bottom w:val="single" w:sz="8" w:space="0" w:color="A6A6A6"/>
              <w:right w:val="single" w:sz="8" w:space="0" w:color="A6A6A6"/>
            </w:tcBorders>
            <w:shd w:val="clear" w:color="000000" w:fill="C5EAFF"/>
            <w:vAlign w:val="center"/>
            <w:hideMark/>
          </w:tcPr>
          <w:p w14:paraId="45B3755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10AA03B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655E682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000000" w:fill="C5EAFF"/>
            <w:vAlign w:val="center"/>
            <w:hideMark/>
          </w:tcPr>
          <w:p w14:paraId="71CDF7E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05AD50E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6505C06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28B30D6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000000" w:fill="C5EAFF"/>
            <w:vAlign w:val="center"/>
            <w:hideMark/>
          </w:tcPr>
          <w:p w14:paraId="7815138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5B9B4BAE"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6FB3350A"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4906B0E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E2C19" w:rsidRPr="00296E53" w14:paraId="2CB00FFE"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759997E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auto" w:fill="auto"/>
            <w:vAlign w:val="center"/>
            <w:hideMark/>
          </w:tcPr>
          <w:p w14:paraId="20664860"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15.   MOLEC</w:t>
            </w:r>
          </w:p>
        </w:tc>
        <w:tc>
          <w:tcPr>
            <w:tcW w:w="1268" w:type="dxa"/>
            <w:tcBorders>
              <w:top w:val="nil"/>
              <w:left w:val="nil"/>
              <w:bottom w:val="single" w:sz="8" w:space="0" w:color="A6A6A6"/>
              <w:right w:val="single" w:sz="8" w:space="0" w:color="A6A6A6"/>
            </w:tcBorders>
            <w:shd w:val="clear" w:color="auto" w:fill="auto"/>
            <w:vAlign w:val="center"/>
            <w:hideMark/>
          </w:tcPr>
          <w:p w14:paraId="0EF3464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25DC86A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1826CBF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236AF8D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59D9994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0BDA7A6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5796CF6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4F9FAAA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3B621199"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3C49E104"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794A266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E2C19" w:rsidRPr="00296E53" w14:paraId="249B627B"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79623D5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000000" w:fill="C5EAFF"/>
            <w:vAlign w:val="center"/>
            <w:hideMark/>
          </w:tcPr>
          <w:p w14:paraId="48D82A0A"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16.   BIARE</w:t>
            </w:r>
          </w:p>
        </w:tc>
        <w:tc>
          <w:tcPr>
            <w:tcW w:w="1268" w:type="dxa"/>
            <w:tcBorders>
              <w:top w:val="nil"/>
              <w:left w:val="nil"/>
              <w:bottom w:val="single" w:sz="8" w:space="0" w:color="A6A6A6"/>
              <w:right w:val="single" w:sz="8" w:space="0" w:color="A6A6A6"/>
            </w:tcBorders>
            <w:shd w:val="clear" w:color="000000" w:fill="C5EAFF"/>
            <w:vAlign w:val="center"/>
            <w:hideMark/>
          </w:tcPr>
          <w:p w14:paraId="27D1B02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Semestral</w:t>
            </w:r>
          </w:p>
        </w:tc>
        <w:tc>
          <w:tcPr>
            <w:tcW w:w="2409" w:type="dxa"/>
            <w:tcBorders>
              <w:top w:val="nil"/>
              <w:left w:val="nil"/>
              <w:bottom w:val="single" w:sz="8" w:space="0" w:color="A6A6A6"/>
              <w:right w:val="single" w:sz="8" w:space="0" w:color="A6A6A6"/>
            </w:tcBorders>
            <w:shd w:val="clear" w:color="000000" w:fill="C5EAFF"/>
            <w:vAlign w:val="center"/>
            <w:hideMark/>
          </w:tcPr>
          <w:p w14:paraId="325F9EF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w:t>
            </w:r>
          </w:p>
        </w:tc>
        <w:tc>
          <w:tcPr>
            <w:tcW w:w="709" w:type="dxa"/>
            <w:tcBorders>
              <w:top w:val="nil"/>
              <w:left w:val="nil"/>
              <w:bottom w:val="single" w:sz="8" w:space="0" w:color="A6A6A6"/>
              <w:right w:val="single" w:sz="8" w:space="0" w:color="A6A6A6"/>
            </w:tcBorders>
            <w:shd w:val="clear" w:color="000000" w:fill="C5EAFF"/>
            <w:vAlign w:val="center"/>
            <w:hideMark/>
          </w:tcPr>
          <w:p w14:paraId="19611DB4"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8" w:type="dxa"/>
            <w:tcBorders>
              <w:top w:val="nil"/>
              <w:left w:val="nil"/>
              <w:bottom w:val="single" w:sz="8" w:space="0" w:color="A6A6A6"/>
              <w:right w:val="single" w:sz="8" w:space="0" w:color="A6A6A6"/>
            </w:tcBorders>
            <w:shd w:val="clear" w:color="000000" w:fill="C5EAFF"/>
            <w:vAlign w:val="center"/>
            <w:hideMark/>
          </w:tcPr>
          <w:p w14:paraId="3DBD44ED"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210A1D54"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1C13E23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41D9B1B1"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5782B41B"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4C4463B9"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76B289F8"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3A63E029"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E2C19" w:rsidRPr="00296E53" w14:paraId="21A446E6" w14:textId="77777777" w:rsidTr="006E2C19">
        <w:trPr>
          <w:trHeight w:val="29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781DDD8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1563" w:type="dxa"/>
            <w:tcBorders>
              <w:top w:val="nil"/>
              <w:left w:val="nil"/>
              <w:bottom w:val="single" w:sz="8" w:space="0" w:color="A6A6A6"/>
              <w:right w:val="single" w:sz="8" w:space="0" w:color="A6A6A6"/>
            </w:tcBorders>
            <w:shd w:val="clear" w:color="auto" w:fill="auto"/>
            <w:vAlign w:val="center"/>
            <w:hideMark/>
          </w:tcPr>
          <w:p w14:paraId="2CC76905"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17.   ENVIPE</w:t>
            </w:r>
          </w:p>
        </w:tc>
        <w:tc>
          <w:tcPr>
            <w:tcW w:w="1268" w:type="dxa"/>
            <w:tcBorders>
              <w:top w:val="nil"/>
              <w:left w:val="nil"/>
              <w:bottom w:val="single" w:sz="8" w:space="0" w:color="A6A6A6"/>
              <w:right w:val="single" w:sz="8" w:space="0" w:color="A6A6A6"/>
            </w:tcBorders>
            <w:shd w:val="clear" w:color="auto" w:fill="auto"/>
            <w:vAlign w:val="center"/>
            <w:hideMark/>
          </w:tcPr>
          <w:p w14:paraId="79149F7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27373A8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0CCC346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1103A04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5328682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502FBDD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52939523"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02CD2EFE"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1490807F"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069E40CA"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002835CA"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r>
      <w:tr w:rsidR="006E2C19" w:rsidRPr="00296E53" w14:paraId="1AA3E2EB"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3640A81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1563" w:type="dxa"/>
            <w:tcBorders>
              <w:top w:val="nil"/>
              <w:left w:val="nil"/>
              <w:bottom w:val="single" w:sz="8" w:space="0" w:color="A6A6A6"/>
              <w:right w:val="single" w:sz="8" w:space="0" w:color="A6A6A6"/>
            </w:tcBorders>
            <w:shd w:val="clear" w:color="000000" w:fill="C5EAFF"/>
            <w:vAlign w:val="center"/>
            <w:hideMark/>
          </w:tcPr>
          <w:p w14:paraId="697D6DF8"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18.   ENSU</w:t>
            </w:r>
          </w:p>
        </w:tc>
        <w:tc>
          <w:tcPr>
            <w:tcW w:w="1268" w:type="dxa"/>
            <w:tcBorders>
              <w:top w:val="nil"/>
              <w:left w:val="nil"/>
              <w:bottom w:val="single" w:sz="8" w:space="0" w:color="A6A6A6"/>
              <w:right w:val="single" w:sz="8" w:space="0" w:color="A6A6A6"/>
            </w:tcBorders>
            <w:shd w:val="clear" w:color="000000" w:fill="C5EAFF"/>
            <w:vAlign w:val="center"/>
            <w:hideMark/>
          </w:tcPr>
          <w:p w14:paraId="0BF0A75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Trimestral</w:t>
            </w:r>
          </w:p>
        </w:tc>
        <w:tc>
          <w:tcPr>
            <w:tcW w:w="2409" w:type="dxa"/>
            <w:tcBorders>
              <w:top w:val="nil"/>
              <w:left w:val="nil"/>
              <w:bottom w:val="single" w:sz="8" w:space="0" w:color="A6A6A6"/>
              <w:right w:val="single" w:sz="8" w:space="0" w:color="A6A6A6"/>
            </w:tcBorders>
            <w:shd w:val="clear" w:color="000000" w:fill="C5EAFF"/>
            <w:vAlign w:val="center"/>
            <w:hideMark/>
          </w:tcPr>
          <w:p w14:paraId="2A50DC8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c>
          <w:tcPr>
            <w:tcW w:w="709" w:type="dxa"/>
            <w:tcBorders>
              <w:top w:val="nil"/>
              <w:left w:val="nil"/>
              <w:bottom w:val="single" w:sz="8" w:space="0" w:color="A6A6A6"/>
              <w:right w:val="single" w:sz="8" w:space="0" w:color="A6A6A6"/>
            </w:tcBorders>
            <w:shd w:val="clear" w:color="000000" w:fill="C5EAFF"/>
            <w:vAlign w:val="center"/>
            <w:hideMark/>
          </w:tcPr>
          <w:p w14:paraId="7B28B65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c>
          <w:tcPr>
            <w:tcW w:w="708" w:type="dxa"/>
            <w:tcBorders>
              <w:top w:val="nil"/>
              <w:left w:val="nil"/>
              <w:bottom w:val="single" w:sz="8" w:space="0" w:color="A6A6A6"/>
              <w:right w:val="single" w:sz="8" w:space="0" w:color="A6A6A6"/>
            </w:tcBorders>
            <w:shd w:val="clear" w:color="000000" w:fill="C5EAFF"/>
            <w:vAlign w:val="center"/>
            <w:hideMark/>
          </w:tcPr>
          <w:p w14:paraId="63E7907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c>
          <w:tcPr>
            <w:tcW w:w="709" w:type="dxa"/>
            <w:tcBorders>
              <w:top w:val="nil"/>
              <w:left w:val="nil"/>
              <w:bottom w:val="single" w:sz="8" w:space="0" w:color="A6A6A6"/>
              <w:right w:val="single" w:sz="8" w:space="0" w:color="A6A6A6"/>
            </w:tcBorders>
            <w:shd w:val="clear" w:color="000000" w:fill="C5EAFF"/>
            <w:vAlign w:val="center"/>
            <w:hideMark/>
          </w:tcPr>
          <w:p w14:paraId="459D872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c>
          <w:tcPr>
            <w:tcW w:w="851" w:type="dxa"/>
            <w:tcBorders>
              <w:top w:val="nil"/>
              <w:left w:val="nil"/>
              <w:bottom w:val="single" w:sz="8" w:space="0" w:color="A6A6A6"/>
              <w:right w:val="single" w:sz="8" w:space="0" w:color="A6A6A6"/>
            </w:tcBorders>
            <w:shd w:val="clear" w:color="000000" w:fill="C5EAFF"/>
            <w:vAlign w:val="center"/>
            <w:hideMark/>
          </w:tcPr>
          <w:p w14:paraId="4757F62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148A4AF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c>
          <w:tcPr>
            <w:tcW w:w="992" w:type="dxa"/>
            <w:tcBorders>
              <w:top w:val="nil"/>
              <w:left w:val="nil"/>
              <w:bottom w:val="single" w:sz="8" w:space="0" w:color="A6A6A6"/>
              <w:right w:val="single" w:sz="8" w:space="0" w:color="A6A6A6"/>
            </w:tcBorders>
            <w:shd w:val="clear" w:color="000000" w:fill="C5EAFF"/>
            <w:vAlign w:val="center"/>
            <w:hideMark/>
          </w:tcPr>
          <w:p w14:paraId="186A028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c>
          <w:tcPr>
            <w:tcW w:w="851" w:type="dxa"/>
            <w:tcBorders>
              <w:top w:val="nil"/>
              <w:left w:val="nil"/>
              <w:bottom w:val="single" w:sz="8" w:space="0" w:color="A6A6A6"/>
              <w:right w:val="single" w:sz="8" w:space="0" w:color="A6A6A6"/>
            </w:tcBorders>
            <w:shd w:val="clear" w:color="000000" w:fill="C5EAFF"/>
            <w:vAlign w:val="center"/>
            <w:hideMark/>
          </w:tcPr>
          <w:p w14:paraId="35EFBC00"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490C265D"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722899D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r>
      <w:tr w:rsidR="006E2C19" w:rsidRPr="00296E53" w14:paraId="03CC49CC"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1C45223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1563" w:type="dxa"/>
            <w:tcBorders>
              <w:top w:val="nil"/>
              <w:left w:val="nil"/>
              <w:bottom w:val="single" w:sz="8" w:space="0" w:color="A6A6A6"/>
              <w:right w:val="single" w:sz="8" w:space="0" w:color="A6A6A6"/>
            </w:tcBorders>
            <w:shd w:val="clear" w:color="auto" w:fill="auto"/>
            <w:vAlign w:val="center"/>
            <w:hideMark/>
          </w:tcPr>
          <w:p w14:paraId="233E97CF"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19.   ENVE</w:t>
            </w:r>
          </w:p>
        </w:tc>
        <w:tc>
          <w:tcPr>
            <w:tcW w:w="1268" w:type="dxa"/>
            <w:tcBorders>
              <w:top w:val="nil"/>
              <w:left w:val="nil"/>
              <w:bottom w:val="single" w:sz="8" w:space="0" w:color="A6A6A6"/>
              <w:right w:val="single" w:sz="8" w:space="0" w:color="A6A6A6"/>
            </w:tcBorders>
            <w:shd w:val="clear" w:color="auto" w:fill="auto"/>
            <w:vAlign w:val="center"/>
            <w:hideMark/>
          </w:tcPr>
          <w:p w14:paraId="3352B56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Bienal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0705AB5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7F8A5B8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79E5413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B040E2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159F13E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12CA7D60"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auto" w:fill="auto"/>
            <w:vAlign w:val="center"/>
            <w:hideMark/>
          </w:tcPr>
          <w:p w14:paraId="7D388F28"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auto" w:fill="auto"/>
            <w:vAlign w:val="center"/>
            <w:hideMark/>
          </w:tcPr>
          <w:p w14:paraId="7DD8F613"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0765438C"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52DD0316"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E2C19" w:rsidRPr="00296E53" w14:paraId="5B471673"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4F37D2A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1563" w:type="dxa"/>
            <w:tcBorders>
              <w:top w:val="nil"/>
              <w:left w:val="nil"/>
              <w:bottom w:val="single" w:sz="8" w:space="0" w:color="A6A6A6"/>
              <w:right w:val="single" w:sz="8" w:space="0" w:color="A6A6A6"/>
            </w:tcBorders>
            <w:shd w:val="clear" w:color="000000" w:fill="C5EAFF"/>
            <w:vAlign w:val="center"/>
            <w:hideMark/>
          </w:tcPr>
          <w:p w14:paraId="2B9A2033"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20.   ENCIG</w:t>
            </w:r>
          </w:p>
        </w:tc>
        <w:tc>
          <w:tcPr>
            <w:tcW w:w="1268" w:type="dxa"/>
            <w:tcBorders>
              <w:top w:val="nil"/>
              <w:left w:val="nil"/>
              <w:bottom w:val="single" w:sz="8" w:space="0" w:color="A6A6A6"/>
              <w:right w:val="single" w:sz="8" w:space="0" w:color="A6A6A6"/>
            </w:tcBorders>
            <w:shd w:val="clear" w:color="000000" w:fill="C5EAFF"/>
            <w:vAlign w:val="center"/>
            <w:hideMark/>
          </w:tcPr>
          <w:p w14:paraId="52D206D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Bienal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5E5D366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38FDE90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000000" w:fill="C5EAFF"/>
            <w:vAlign w:val="center"/>
            <w:hideMark/>
          </w:tcPr>
          <w:p w14:paraId="7FE0E3C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718EC19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0CA5097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32698ED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000000" w:fill="C5EAFF"/>
            <w:vAlign w:val="center"/>
            <w:hideMark/>
          </w:tcPr>
          <w:p w14:paraId="169ADD0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4E1E0B1E"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719D52DD"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3B80E7B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E2C19" w:rsidRPr="00296E53" w14:paraId="4D4F8A25" w14:textId="77777777" w:rsidTr="006E2C19">
        <w:trPr>
          <w:trHeight w:val="330"/>
          <w:jc w:val="center"/>
        </w:trPr>
        <w:tc>
          <w:tcPr>
            <w:tcW w:w="6511" w:type="dxa"/>
            <w:gridSpan w:val="4"/>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51351CFB"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proofErr w:type="spellStart"/>
            <w:r w:rsidRPr="00296E53">
              <w:rPr>
                <w:rFonts w:ascii="Century Gothic" w:eastAsia="Times New Roman" w:hAnsi="Century Gothic" w:cs="Calibri"/>
                <w:b/>
                <w:bCs/>
                <w:color w:val="FFFFFF"/>
                <w:sz w:val="16"/>
                <w:szCs w:val="16"/>
                <w:lang w:val="en-US"/>
              </w:rPr>
              <w:t>Porcentaje</w:t>
            </w:r>
            <w:proofErr w:type="spellEnd"/>
            <w:r w:rsidRPr="00296E53">
              <w:rPr>
                <w:rFonts w:ascii="Century Gothic" w:eastAsia="Times New Roman" w:hAnsi="Century Gothic" w:cs="Calibri"/>
                <w:b/>
                <w:bCs/>
                <w:color w:val="FFFFFF"/>
                <w:sz w:val="16"/>
                <w:szCs w:val="16"/>
                <w:lang w:val="en-US"/>
              </w:rPr>
              <w:t xml:space="preserve"> de </w:t>
            </w:r>
            <w:proofErr w:type="spellStart"/>
            <w:r w:rsidRPr="00296E53">
              <w:rPr>
                <w:rFonts w:ascii="Century Gothic" w:eastAsia="Times New Roman" w:hAnsi="Century Gothic" w:cs="Calibri"/>
                <w:b/>
                <w:bCs/>
                <w:color w:val="FFFFFF"/>
                <w:sz w:val="16"/>
                <w:szCs w:val="16"/>
                <w:lang w:val="en-US"/>
              </w:rPr>
              <w:t>entrega</w:t>
            </w:r>
            <w:proofErr w:type="spellEnd"/>
          </w:p>
        </w:tc>
        <w:tc>
          <w:tcPr>
            <w:tcW w:w="709" w:type="dxa"/>
            <w:tcBorders>
              <w:top w:val="nil"/>
              <w:left w:val="nil"/>
              <w:bottom w:val="single" w:sz="8" w:space="0" w:color="A6A6A6"/>
              <w:right w:val="single" w:sz="8" w:space="0" w:color="A6A6A6"/>
            </w:tcBorders>
            <w:shd w:val="clear" w:color="000000" w:fill="1F3864"/>
            <w:vAlign w:val="center"/>
            <w:hideMark/>
          </w:tcPr>
          <w:p w14:paraId="7DA5B5E7"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98</w:t>
            </w:r>
          </w:p>
        </w:tc>
        <w:tc>
          <w:tcPr>
            <w:tcW w:w="708" w:type="dxa"/>
            <w:tcBorders>
              <w:top w:val="nil"/>
              <w:left w:val="nil"/>
              <w:bottom w:val="single" w:sz="8" w:space="0" w:color="A6A6A6"/>
              <w:right w:val="single" w:sz="8" w:space="0" w:color="A6A6A6"/>
            </w:tcBorders>
            <w:shd w:val="clear" w:color="000000" w:fill="1F3864"/>
            <w:vAlign w:val="center"/>
            <w:hideMark/>
          </w:tcPr>
          <w:p w14:paraId="59404E43"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98</w:t>
            </w:r>
          </w:p>
        </w:tc>
        <w:tc>
          <w:tcPr>
            <w:tcW w:w="709" w:type="dxa"/>
            <w:tcBorders>
              <w:top w:val="nil"/>
              <w:left w:val="nil"/>
              <w:bottom w:val="single" w:sz="8" w:space="0" w:color="A6A6A6"/>
              <w:right w:val="single" w:sz="8" w:space="0" w:color="A6A6A6"/>
            </w:tcBorders>
            <w:shd w:val="clear" w:color="000000" w:fill="1F3864"/>
            <w:vAlign w:val="center"/>
            <w:hideMark/>
          </w:tcPr>
          <w:p w14:paraId="1307372F"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98</w:t>
            </w:r>
          </w:p>
        </w:tc>
        <w:tc>
          <w:tcPr>
            <w:tcW w:w="851" w:type="dxa"/>
            <w:tcBorders>
              <w:top w:val="nil"/>
              <w:left w:val="nil"/>
              <w:bottom w:val="single" w:sz="8" w:space="0" w:color="A6A6A6"/>
              <w:right w:val="single" w:sz="8" w:space="0" w:color="A6A6A6"/>
            </w:tcBorders>
            <w:shd w:val="clear" w:color="000000" w:fill="1F3864"/>
            <w:vAlign w:val="center"/>
            <w:hideMark/>
          </w:tcPr>
          <w:p w14:paraId="16DCCD8F"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100</w:t>
            </w:r>
          </w:p>
        </w:tc>
        <w:tc>
          <w:tcPr>
            <w:tcW w:w="850" w:type="dxa"/>
            <w:tcBorders>
              <w:top w:val="nil"/>
              <w:left w:val="nil"/>
              <w:bottom w:val="single" w:sz="8" w:space="0" w:color="A6A6A6"/>
              <w:right w:val="single" w:sz="8" w:space="0" w:color="A6A6A6"/>
            </w:tcBorders>
            <w:shd w:val="clear" w:color="000000" w:fill="1F3864"/>
            <w:vAlign w:val="center"/>
            <w:hideMark/>
          </w:tcPr>
          <w:p w14:paraId="2FC6A55E"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93</w:t>
            </w:r>
          </w:p>
        </w:tc>
        <w:tc>
          <w:tcPr>
            <w:tcW w:w="992" w:type="dxa"/>
            <w:tcBorders>
              <w:top w:val="nil"/>
              <w:left w:val="nil"/>
              <w:bottom w:val="single" w:sz="8" w:space="0" w:color="A6A6A6"/>
              <w:right w:val="single" w:sz="8" w:space="0" w:color="A6A6A6"/>
            </w:tcBorders>
            <w:shd w:val="clear" w:color="000000" w:fill="1F3864"/>
            <w:vAlign w:val="center"/>
            <w:hideMark/>
          </w:tcPr>
          <w:p w14:paraId="72C2C663"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93</w:t>
            </w:r>
          </w:p>
        </w:tc>
        <w:tc>
          <w:tcPr>
            <w:tcW w:w="851" w:type="dxa"/>
            <w:tcBorders>
              <w:top w:val="nil"/>
              <w:left w:val="nil"/>
              <w:bottom w:val="single" w:sz="8" w:space="0" w:color="A6A6A6"/>
              <w:right w:val="single" w:sz="8" w:space="0" w:color="A6A6A6"/>
            </w:tcBorders>
            <w:shd w:val="clear" w:color="000000" w:fill="1F3864"/>
            <w:vAlign w:val="center"/>
            <w:hideMark/>
          </w:tcPr>
          <w:p w14:paraId="3541A97E"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 xml:space="preserve">72 </w:t>
            </w:r>
            <w:r w:rsidRPr="00296E53">
              <w:rPr>
                <w:rFonts w:ascii="Century Gothic" w:eastAsia="Times New Roman" w:hAnsi="Century Gothic" w:cs="Calibri"/>
                <w:b/>
                <w:bCs/>
                <w:color w:val="FFFFFF"/>
                <w:sz w:val="16"/>
                <w:szCs w:val="16"/>
                <w:vertAlign w:val="superscript"/>
                <w:lang w:val="en-US"/>
              </w:rPr>
              <w:t>a</w:t>
            </w:r>
          </w:p>
        </w:tc>
        <w:tc>
          <w:tcPr>
            <w:tcW w:w="709" w:type="dxa"/>
            <w:tcBorders>
              <w:top w:val="nil"/>
              <w:left w:val="nil"/>
              <w:bottom w:val="single" w:sz="8" w:space="0" w:color="A6A6A6"/>
              <w:right w:val="single" w:sz="8" w:space="0" w:color="A6A6A6"/>
            </w:tcBorders>
            <w:shd w:val="clear" w:color="000000" w:fill="1F3864"/>
            <w:vAlign w:val="center"/>
            <w:hideMark/>
          </w:tcPr>
          <w:p w14:paraId="33102569"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 xml:space="preserve">72 </w:t>
            </w:r>
            <w:r w:rsidRPr="00296E53">
              <w:rPr>
                <w:rFonts w:ascii="Century Gothic" w:eastAsia="Times New Roman" w:hAnsi="Century Gothic" w:cs="Calibri"/>
                <w:b/>
                <w:bCs/>
                <w:color w:val="FFFFFF"/>
                <w:sz w:val="16"/>
                <w:szCs w:val="16"/>
                <w:vertAlign w:val="superscript"/>
                <w:lang w:val="en-US"/>
              </w:rPr>
              <w:t>a</w:t>
            </w:r>
          </w:p>
        </w:tc>
        <w:tc>
          <w:tcPr>
            <w:tcW w:w="690" w:type="dxa"/>
            <w:tcBorders>
              <w:top w:val="nil"/>
              <w:left w:val="nil"/>
              <w:bottom w:val="single" w:sz="8" w:space="0" w:color="A6A6A6"/>
              <w:right w:val="single" w:sz="8" w:space="0" w:color="A6A6A6"/>
            </w:tcBorders>
            <w:shd w:val="clear" w:color="000000" w:fill="1F3864"/>
            <w:vAlign w:val="center"/>
            <w:hideMark/>
          </w:tcPr>
          <w:p w14:paraId="0D77F06F"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93</w:t>
            </w:r>
          </w:p>
        </w:tc>
      </w:tr>
    </w:tbl>
    <w:p w14:paraId="7F7393A4" w14:textId="77777777" w:rsidR="00C75AE4" w:rsidRPr="00296E53" w:rsidRDefault="00C75AE4" w:rsidP="00C75AE4">
      <w:pPr>
        <w:ind w:left="426" w:right="508"/>
        <w:jc w:val="both"/>
        <w:rPr>
          <w:rFonts w:ascii="Century Gothic" w:hAnsi="Century Gothic" w:cstheme="majorHAnsi"/>
          <w:sz w:val="15"/>
          <w:szCs w:val="15"/>
        </w:rPr>
      </w:pPr>
      <w:r w:rsidRPr="00296E53">
        <w:rPr>
          <w:rFonts w:ascii="Century Gothic" w:hAnsi="Century Gothic" w:cstheme="majorHAnsi"/>
          <w:sz w:val="15"/>
          <w:szCs w:val="15"/>
        </w:rPr>
        <w:t xml:space="preserve">NA: La cobertura de la variable de diseño sólo aplica a las encuestas con muestreo no probabilístico / </w:t>
      </w:r>
      <w:r w:rsidRPr="00296E53">
        <w:rPr>
          <w:rFonts w:ascii="Century Gothic" w:hAnsi="Century Gothic" w:cs="Calibri"/>
          <w:sz w:val="15"/>
          <w:szCs w:val="15"/>
        </w:rPr>
        <w:t>ª Los</w:t>
      </w:r>
      <w:r w:rsidRPr="00296E53">
        <w:rPr>
          <w:rFonts w:ascii="Century Gothic" w:hAnsi="Century Gothic" w:cstheme="majorHAnsi"/>
          <w:sz w:val="15"/>
          <w:szCs w:val="15"/>
        </w:rPr>
        <w:t xml:space="preserve"> programas de DGES y DGEGSPJ no realizan imputación por lo que no han entregado información de la TNRDI y TI, sin embargo, se considera que, aunque tengan un valor de cero deben ser entregadas. </w:t>
      </w:r>
    </w:p>
    <w:p w14:paraId="0FF3F17E" w14:textId="77777777" w:rsidR="00C75AE4" w:rsidRPr="00296E53" w:rsidRDefault="00C75AE4" w:rsidP="00C75AE4">
      <w:pPr>
        <w:spacing w:before="240"/>
        <w:jc w:val="both"/>
        <w:rPr>
          <w:rFonts w:ascii="Century Gothic" w:hAnsi="Century Gothic" w:cstheme="minorHAnsi"/>
          <w:sz w:val="19"/>
          <w:szCs w:val="19"/>
        </w:rPr>
      </w:pPr>
      <w:r w:rsidRPr="00296E53">
        <w:rPr>
          <w:rFonts w:ascii="Century Gothic" w:hAnsi="Century Gothic" w:cstheme="minorHAnsi"/>
          <w:sz w:val="19"/>
          <w:szCs w:val="19"/>
        </w:rPr>
        <w:t>Es importante destacar que se publicaron programas de información no contenidos en el calendario de difusión, los cuales reportaron indicadores de precisión.</w:t>
      </w:r>
    </w:p>
    <w:p w14:paraId="1C842C71" w14:textId="77777777" w:rsidR="00CA54D2" w:rsidRPr="00296E53" w:rsidRDefault="00CA54D2" w:rsidP="00C75AE4">
      <w:pPr>
        <w:spacing w:before="240"/>
        <w:jc w:val="both"/>
        <w:rPr>
          <w:rFonts w:ascii="Century Gothic" w:hAnsi="Century Gothic" w:cstheme="minorHAnsi"/>
          <w:sz w:val="19"/>
          <w:szCs w:val="19"/>
        </w:rPr>
      </w:pPr>
    </w:p>
    <w:p w14:paraId="15A9B156" w14:textId="77777777" w:rsidR="00C75AE4" w:rsidRPr="00296E53" w:rsidRDefault="00C75AE4" w:rsidP="00C75AE4">
      <w:pPr>
        <w:spacing w:before="240"/>
        <w:jc w:val="center"/>
        <w:rPr>
          <w:rFonts w:ascii="Century Gothic" w:hAnsi="Century Gothic" w:cstheme="majorHAnsi"/>
          <w:b/>
          <w:sz w:val="19"/>
          <w:szCs w:val="19"/>
        </w:rPr>
      </w:pPr>
      <w:r w:rsidRPr="00296E53">
        <w:rPr>
          <w:rFonts w:ascii="Century Gothic" w:hAnsi="Century Gothic" w:cstheme="majorHAnsi"/>
          <w:b/>
          <w:sz w:val="19"/>
          <w:szCs w:val="19"/>
        </w:rPr>
        <w:t>A.6.2.bis Programas de información no incluidos en el calendario de difusión que reportaron indicadores de precisión</w:t>
      </w:r>
    </w:p>
    <w:tbl>
      <w:tblPr>
        <w:tblW w:w="14260" w:type="dxa"/>
        <w:jc w:val="center"/>
        <w:tblLook w:val="04A0" w:firstRow="1" w:lastRow="0" w:firstColumn="1" w:lastColumn="0" w:noHBand="0" w:noVBand="1"/>
      </w:tblPr>
      <w:tblGrid>
        <w:gridCol w:w="1257"/>
        <w:gridCol w:w="2277"/>
        <w:gridCol w:w="1418"/>
        <w:gridCol w:w="1984"/>
        <w:gridCol w:w="709"/>
        <w:gridCol w:w="709"/>
        <w:gridCol w:w="850"/>
        <w:gridCol w:w="851"/>
        <w:gridCol w:w="850"/>
        <w:gridCol w:w="992"/>
        <w:gridCol w:w="851"/>
        <w:gridCol w:w="709"/>
        <w:gridCol w:w="803"/>
      </w:tblGrid>
      <w:tr w:rsidR="006D7BC5" w:rsidRPr="00296E53" w14:paraId="37B259F1" w14:textId="77777777" w:rsidTr="006D7BC5">
        <w:trPr>
          <w:trHeight w:val="271"/>
          <w:tblHeader/>
          <w:jc w:val="center"/>
        </w:trPr>
        <w:tc>
          <w:tcPr>
            <w:tcW w:w="1257"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2A04F241"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 xml:space="preserve">UA </w:t>
            </w:r>
            <w:proofErr w:type="spellStart"/>
            <w:r w:rsidRPr="00296E53">
              <w:rPr>
                <w:rFonts w:ascii="Century Gothic" w:eastAsia="Times New Roman" w:hAnsi="Century Gothic" w:cs="Calibri"/>
                <w:color w:val="FFFFFF"/>
                <w:sz w:val="16"/>
                <w:szCs w:val="16"/>
                <w:lang w:val="en-US"/>
              </w:rPr>
              <w:t>Responsable</w:t>
            </w:r>
            <w:proofErr w:type="spellEnd"/>
          </w:p>
        </w:tc>
        <w:tc>
          <w:tcPr>
            <w:tcW w:w="2277"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1ACE826E" w14:textId="116E058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proofErr w:type="spellStart"/>
            <w:r w:rsidRPr="00296E53">
              <w:rPr>
                <w:rFonts w:ascii="Century Gothic" w:eastAsia="Times New Roman" w:hAnsi="Century Gothic" w:cs="Calibri"/>
                <w:color w:val="FFFFFF"/>
                <w:sz w:val="16"/>
                <w:szCs w:val="16"/>
                <w:lang w:val="en-US"/>
              </w:rPr>
              <w:t>Programa</w:t>
            </w:r>
            <w:proofErr w:type="spellEnd"/>
            <w:r w:rsidR="002207A6">
              <w:rPr>
                <w:rFonts w:ascii="Century Gothic" w:eastAsia="Times New Roman" w:hAnsi="Century Gothic" w:cs="Calibri"/>
                <w:color w:val="FFFFFF"/>
                <w:sz w:val="16"/>
                <w:szCs w:val="16"/>
                <w:lang w:val="en-US"/>
              </w:rPr>
              <w:t xml:space="preserve"> / </w:t>
            </w:r>
            <w:proofErr w:type="spellStart"/>
            <w:r w:rsidR="002207A6">
              <w:rPr>
                <w:rFonts w:ascii="Century Gothic" w:eastAsia="Times New Roman" w:hAnsi="Century Gothic" w:cs="Calibri"/>
                <w:color w:val="FFFFFF"/>
                <w:sz w:val="16"/>
                <w:szCs w:val="16"/>
                <w:lang w:val="en-US"/>
              </w:rPr>
              <w:t>Proceso</w:t>
            </w:r>
            <w:proofErr w:type="spellEnd"/>
          </w:p>
        </w:tc>
        <w:tc>
          <w:tcPr>
            <w:tcW w:w="1418"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7F6E6F21"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proofErr w:type="spellStart"/>
            <w:r w:rsidRPr="00296E53">
              <w:rPr>
                <w:rFonts w:ascii="Century Gothic" w:eastAsia="Times New Roman" w:hAnsi="Century Gothic" w:cs="Calibri"/>
                <w:color w:val="FFFFFF"/>
                <w:sz w:val="16"/>
                <w:szCs w:val="16"/>
                <w:lang w:val="en-US"/>
              </w:rPr>
              <w:t>Periodicidad</w:t>
            </w:r>
            <w:proofErr w:type="spellEnd"/>
          </w:p>
        </w:tc>
        <w:tc>
          <w:tcPr>
            <w:tcW w:w="1984"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4AAA3588"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rPr>
            </w:pPr>
            <w:r w:rsidRPr="00296E53">
              <w:rPr>
                <w:rFonts w:ascii="Century Gothic" w:eastAsia="Times New Roman" w:hAnsi="Century Gothic" w:cs="Calibri"/>
                <w:color w:val="FFFFFF"/>
                <w:sz w:val="16"/>
                <w:szCs w:val="16"/>
              </w:rPr>
              <w:t>Número de ciclos con obligación de reportar indicadores en 2020</w:t>
            </w:r>
          </w:p>
        </w:tc>
        <w:tc>
          <w:tcPr>
            <w:tcW w:w="7324" w:type="dxa"/>
            <w:gridSpan w:val="9"/>
            <w:tcBorders>
              <w:top w:val="single" w:sz="8" w:space="0" w:color="A6A6A6"/>
              <w:left w:val="nil"/>
              <w:bottom w:val="single" w:sz="8" w:space="0" w:color="A6A6A6"/>
              <w:right w:val="single" w:sz="8" w:space="0" w:color="A6A6A6"/>
            </w:tcBorders>
            <w:shd w:val="clear" w:color="000000" w:fill="1F3864"/>
            <w:vAlign w:val="center"/>
            <w:hideMark/>
          </w:tcPr>
          <w:p w14:paraId="7ED475A6"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rPr>
            </w:pPr>
            <w:r w:rsidRPr="00296E53">
              <w:rPr>
                <w:rFonts w:ascii="Century Gothic" w:eastAsia="Times New Roman" w:hAnsi="Century Gothic" w:cs="Calibri"/>
                <w:color w:val="FFFFFF"/>
                <w:sz w:val="16"/>
                <w:szCs w:val="16"/>
              </w:rPr>
              <w:t>Número de ciclos con indicadores</w:t>
            </w:r>
          </w:p>
        </w:tc>
      </w:tr>
      <w:tr w:rsidR="006D7BC5" w:rsidRPr="00296E53" w14:paraId="63A39225" w14:textId="77777777" w:rsidTr="006D7BC5">
        <w:trPr>
          <w:trHeight w:val="300"/>
          <w:tblHeader/>
          <w:jc w:val="center"/>
        </w:trPr>
        <w:tc>
          <w:tcPr>
            <w:tcW w:w="1257" w:type="dxa"/>
            <w:vMerge/>
            <w:tcBorders>
              <w:top w:val="single" w:sz="8" w:space="0" w:color="A6A6A6"/>
              <w:left w:val="single" w:sz="8" w:space="0" w:color="A6A6A6"/>
              <w:bottom w:val="single" w:sz="8" w:space="0" w:color="A6A6A6"/>
              <w:right w:val="single" w:sz="8" w:space="0" w:color="A6A6A6"/>
            </w:tcBorders>
            <w:vAlign w:val="center"/>
            <w:hideMark/>
          </w:tcPr>
          <w:p w14:paraId="5031371C" w14:textId="77777777" w:rsidR="00C75AE4" w:rsidRPr="00296E53" w:rsidRDefault="00C75AE4" w:rsidP="00C75AE4">
            <w:pPr>
              <w:spacing w:after="0" w:line="240" w:lineRule="auto"/>
              <w:rPr>
                <w:rFonts w:ascii="Century Gothic" w:eastAsia="Times New Roman" w:hAnsi="Century Gothic" w:cs="Calibri"/>
                <w:color w:val="FFFFFF"/>
                <w:sz w:val="16"/>
                <w:szCs w:val="16"/>
              </w:rPr>
            </w:pPr>
          </w:p>
        </w:tc>
        <w:tc>
          <w:tcPr>
            <w:tcW w:w="2277" w:type="dxa"/>
            <w:vMerge/>
            <w:tcBorders>
              <w:top w:val="single" w:sz="8" w:space="0" w:color="A6A6A6"/>
              <w:left w:val="single" w:sz="8" w:space="0" w:color="A6A6A6"/>
              <w:bottom w:val="single" w:sz="8" w:space="0" w:color="A6A6A6"/>
              <w:right w:val="single" w:sz="8" w:space="0" w:color="A6A6A6"/>
            </w:tcBorders>
            <w:vAlign w:val="center"/>
            <w:hideMark/>
          </w:tcPr>
          <w:p w14:paraId="0B1C0EBB" w14:textId="77777777" w:rsidR="00C75AE4" w:rsidRPr="00296E53" w:rsidRDefault="00C75AE4" w:rsidP="00C75AE4">
            <w:pPr>
              <w:spacing w:after="0" w:line="240" w:lineRule="auto"/>
              <w:rPr>
                <w:rFonts w:ascii="Century Gothic" w:eastAsia="Times New Roman" w:hAnsi="Century Gothic" w:cs="Calibri"/>
                <w:color w:val="FFFFFF"/>
                <w:sz w:val="16"/>
                <w:szCs w:val="16"/>
              </w:rPr>
            </w:pPr>
          </w:p>
        </w:tc>
        <w:tc>
          <w:tcPr>
            <w:tcW w:w="1418" w:type="dxa"/>
            <w:vMerge/>
            <w:tcBorders>
              <w:top w:val="single" w:sz="8" w:space="0" w:color="A6A6A6"/>
              <w:left w:val="single" w:sz="8" w:space="0" w:color="A6A6A6"/>
              <w:bottom w:val="single" w:sz="8" w:space="0" w:color="A6A6A6"/>
              <w:right w:val="single" w:sz="8" w:space="0" w:color="A6A6A6"/>
            </w:tcBorders>
            <w:vAlign w:val="center"/>
            <w:hideMark/>
          </w:tcPr>
          <w:p w14:paraId="4E6DE271" w14:textId="77777777" w:rsidR="00C75AE4" w:rsidRPr="00296E53" w:rsidRDefault="00C75AE4" w:rsidP="00C75AE4">
            <w:pPr>
              <w:spacing w:after="0" w:line="240" w:lineRule="auto"/>
              <w:rPr>
                <w:rFonts w:ascii="Century Gothic" w:eastAsia="Times New Roman" w:hAnsi="Century Gothic" w:cs="Calibri"/>
                <w:color w:val="FFFFFF"/>
                <w:sz w:val="16"/>
                <w:szCs w:val="16"/>
              </w:rPr>
            </w:pPr>
          </w:p>
        </w:tc>
        <w:tc>
          <w:tcPr>
            <w:tcW w:w="1984" w:type="dxa"/>
            <w:vMerge/>
            <w:tcBorders>
              <w:top w:val="single" w:sz="8" w:space="0" w:color="A6A6A6"/>
              <w:left w:val="single" w:sz="8" w:space="0" w:color="A6A6A6"/>
              <w:bottom w:val="single" w:sz="8" w:space="0" w:color="A6A6A6"/>
              <w:right w:val="single" w:sz="8" w:space="0" w:color="A6A6A6"/>
            </w:tcBorders>
            <w:vAlign w:val="center"/>
            <w:hideMark/>
          </w:tcPr>
          <w:p w14:paraId="6894DFF7" w14:textId="77777777" w:rsidR="00C75AE4" w:rsidRPr="00296E53" w:rsidRDefault="00C75AE4" w:rsidP="00C75AE4">
            <w:pPr>
              <w:spacing w:after="0" w:line="240" w:lineRule="auto"/>
              <w:rPr>
                <w:rFonts w:ascii="Century Gothic" w:eastAsia="Times New Roman" w:hAnsi="Century Gothic" w:cs="Calibri"/>
                <w:color w:val="FFFFFF"/>
                <w:sz w:val="16"/>
                <w:szCs w:val="16"/>
              </w:rPr>
            </w:pPr>
          </w:p>
        </w:tc>
        <w:tc>
          <w:tcPr>
            <w:tcW w:w="3119" w:type="dxa"/>
            <w:gridSpan w:val="4"/>
            <w:tcBorders>
              <w:top w:val="single" w:sz="8" w:space="0" w:color="A6A6A6"/>
              <w:left w:val="nil"/>
              <w:bottom w:val="single" w:sz="8" w:space="0" w:color="A6A6A6"/>
              <w:right w:val="single" w:sz="8" w:space="0" w:color="A6A6A6"/>
            </w:tcBorders>
            <w:shd w:val="clear" w:color="000000" w:fill="1F3864"/>
            <w:vAlign w:val="center"/>
            <w:hideMark/>
          </w:tcPr>
          <w:p w14:paraId="3260FB8B"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proofErr w:type="spellStart"/>
            <w:r w:rsidRPr="00296E53">
              <w:rPr>
                <w:rFonts w:ascii="Century Gothic" w:eastAsia="Times New Roman" w:hAnsi="Century Gothic" w:cs="Calibri"/>
                <w:color w:val="FFFFFF"/>
                <w:sz w:val="16"/>
                <w:szCs w:val="16"/>
                <w:lang w:val="en-US"/>
              </w:rPr>
              <w:t>Uso</w:t>
            </w:r>
            <w:proofErr w:type="spellEnd"/>
            <w:r w:rsidRPr="00296E53">
              <w:rPr>
                <w:rFonts w:ascii="Century Gothic" w:eastAsia="Times New Roman" w:hAnsi="Century Gothic" w:cs="Calibri"/>
                <w:color w:val="FFFFFF"/>
                <w:sz w:val="16"/>
                <w:szCs w:val="16"/>
                <w:lang w:val="en-US"/>
              </w:rPr>
              <w:t xml:space="preserve"> </w:t>
            </w:r>
            <w:proofErr w:type="spellStart"/>
            <w:r w:rsidRPr="00296E53">
              <w:rPr>
                <w:rFonts w:ascii="Century Gothic" w:eastAsia="Times New Roman" w:hAnsi="Century Gothic" w:cs="Calibri"/>
                <w:color w:val="FFFFFF"/>
                <w:sz w:val="16"/>
                <w:szCs w:val="16"/>
                <w:lang w:val="en-US"/>
              </w:rPr>
              <w:t>externo</w:t>
            </w:r>
            <w:proofErr w:type="spellEnd"/>
          </w:p>
        </w:tc>
        <w:tc>
          <w:tcPr>
            <w:tcW w:w="4205" w:type="dxa"/>
            <w:gridSpan w:val="5"/>
            <w:tcBorders>
              <w:top w:val="single" w:sz="8" w:space="0" w:color="A6A6A6"/>
              <w:left w:val="nil"/>
              <w:bottom w:val="single" w:sz="8" w:space="0" w:color="A6A6A6"/>
              <w:right w:val="single" w:sz="8" w:space="0" w:color="A6A6A6"/>
            </w:tcBorders>
            <w:shd w:val="clear" w:color="000000" w:fill="1F3864"/>
            <w:vAlign w:val="center"/>
            <w:hideMark/>
          </w:tcPr>
          <w:p w14:paraId="4D9EE427"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proofErr w:type="spellStart"/>
            <w:r w:rsidRPr="00296E53">
              <w:rPr>
                <w:rFonts w:ascii="Century Gothic" w:eastAsia="Times New Roman" w:hAnsi="Century Gothic" w:cs="Calibri"/>
                <w:color w:val="FFFFFF"/>
                <w:sz w:val="16"/>
                <w:szCs w:val="16"/>
                <w:lang w:val="en-US"/>
              </w:rPr>
              <w:t>Uso</w:t>
            </w:r>
            <w:proofErr w:type="spellEnd"/>
            <w:r w:rsidRPr="00296E53">
              <w:rPr>
                <w:rFonts w:ascii="Century Gothic" w:eastAsia="Times New Roman" w:hAnsi="Century Gothic" w:cs="Calibri"/>
                <w:color w:val="FFFFFF"/>
                <w:sz w:val="16"/>
                <w:szCs w:val="16"/>
                <w:lang w:val="en-US"/>
              </w:rPr>
              <w:t xml:space="preserve"> </w:t>
            </w:r>
            <w:proofErr w:type="spellStart"/>
            <w:r w:rsidRPr="00296E53">
              <w:rPr>
                <w:rFonts w:ascii="Century Gothic" w:eastAsia="Times New Roman" w:hAnsi="Century Gothic" w:cs="Calibri"/>
                <w:color w:val="FFFFFF"/>
                <w:sz w:val="16"/>
                <w:szCs w:val="16"/>
                <w:lang w:val="en-US"/>
              </w:rPr>
              <w:t>interno</w:t>
            </w:r>
            <w:proofErr w:type="spellEnd"/>
          </w:p>
        </w:tc>
      </w:tr>
      <w:tr w:rsidR="006D7BC5" w:rsidRPr="00296E53" w14:paraId="1573E957" w14:textId="77777777" w:rsidTr="006D7BC5">
        <w:trPr>
          <w:trHeight w:val="300"/>
          <w:tblHeader/>
          <w:jc w:val="center"/>
        </w:trPr>
        <w:tc>
          <w:tcPr>
            <w:tcW w:w="1257" w:type="dxa"/>
            <w:vMerge/>
            <w:tcBorders>
              <w:top w:val="single" w:sz="8" w:space="0" w:color="A6A6A6"/>
              <w:left w:val="single" w:sz="8" w:space="0" w:color="A6A6A6"/>
              <w:bottom w:val="single" w:sz="8" w:space="0" w:color="A6A6A6"/>
              <w:right w:val="single" w:sz="8" w:space="0" w:color="A6A6A6"/>
            </w:tcBorders>
            <w:vAlign w:val="center"/>
            <w:hideMark/>
          </w:tcPr>
          <w:p w14:paraId="152A7773" w14:textId="77777777" w:rsidR="00C75AE4" w:rsidRPr="00296E53" w:rsidRDefault="00C75AE4" w:rsidP="00C75AE4">
            <w:pPr>
              <w:spacing w:after="0" w:line="240" w:lineRule="auto"/>
              <w:rPr>
                <w:rFonts w:ascii="Century Gothic" w:eastAsia="Times New Roman" w:hAnsi="Century Gothic" w:cs="Calibri"/>
                <w:color w:val="FFFFFF"/>
                <w:sz w:val="16"/>
                <w:szCs w:val="16"/>
                <w:lang w:val="en-US"/>
              </w:rPr>
            </w:pPr>
          </w:p>
        </w:tc>
        <w:tc>
          <w:tcPr>
            <w:tcW w:w="2277" w:type="dxa"/>
            <w:vMerge/>
            <w:tcBorders>
              <w:top w:val="single" w:sz="8" w:space="0" w:color="A6A6A6"/>
              <w:left w:val="single" w:sz="8" w:space="0" w:color="A6A6A6"/>
              <w:bottom w:val="single" w:sz="8" w:space="0" w:color="A6A6A6"/>
              <w:right w:val="single" w:sz="8" w:space="0" w:color="A6A6A6"/>
            </w:tcBorders>
            <w:vAlign w:val="center"/>
            <w:hideMark/>
          </w:tcPr>
          <w:p w14:paraId="193540BC" w14:textId="77777777" w:rsidR="00C75AE4" w:rsidRPr="00296E53" w:rsidRDefault="00C75AE4" w:rsidP="00C75AE4">
            <w:pPr>
              <w:spacing w:after="0" w:line="240" w:lineRule="auto"/>
              <w:rPr>
                <w:rFonts w:ascii="Century Gothic" w:eastAsia="Times New Roman" w:hAnsi="Century Gothic" w:cs="Calibri"/>
                <w:color w:val="FFFFFF"/>
                <w:sz w:val="16"/>
                <w:szCs w:val="16"/>
                <w:lang w:val="en-US"/>
              </w:rPr>
            </w:pPr>
          </w:p>
        </w:tc>
        <w:tc>
          <w:tcPr>
            <w:tcW w:w="1418" w:type="dxa"/>
            <w:vMerge/>
            <w:tcBorders>
              <w:top w:val="single" w:sz="8" w:space="0" w:color="A6A6A6"/>
              <w:left w:val="single" w:sz="8" w:space="0" w:color="A6A6A6"/>
              <w:bottom w:val="single" w:sz="8" w:space="0" w:color="A6A6A6"/>
              <w:right w:val="single" w:sz="8" w:space="0" w:color="A6A6A6"/>
            </w:tcBorders>
            <w:vAlign w:val="center"/>
            <w:hideMark/>
          </w:tcPr>
          <w:p w14:paraId="2B012A7D" w14:textId="77777777" w:rsidR="00C75AE4" w:rsidRPr="00296E53" w:rsidRDefault="00C75AE4" w:rsidP="00C75AE4">
            <w:pPr>
              <w:spacing w:after="0" w:line="240" w:lineRule="auto"/>
              <w:rPr>
                <w:rFonts w:ascii="Century Gothic" w:eastAsia="Times New Roman" w:hAnsi="Century Gothic" w:cs="Calibri"/>
                <w:color w:val="FFFFFF"/>
                <w:sz w:val="16"/>
                <w:szCs w:val="16"/>
                <w:lang w:val="en-US"/>
              </w:rPr>
            </w:pPr>
          </w:p>
        </w:tc>
        <w:tc>
          <w:tcPr>
            <w:tcW w:w="1984" w:type="dxa"/>
            <w:vMerge/>
            <w:tcBorders>
              <w:top w:val="single" w:sz="8" w:space="0" w:color="A6A6A6"/>
              <w:left w:val="single" w:sz="8" w:space="0" w:color="A6A6A6"/>
              <w:bottom w:val="single" w:sz="8" w:space="0" w:color="A6A6A6"/>
              <w:right w:val="single" w:sz="8" w:space="0" w:color="A6A6A6"/>
            </w:tcBorders>
            <w:vAlign w:val="center"/>
            <w:hideMark/>
          </w:tcPr>
          <w:p w14:paraId="66C7CE1B" w14:textId="77777777" w:rsidR="00C75AE4" w:rsidRPr="00296E53" w:rsidRDefault="00C75AE4" w:rsidP="00C75AE4">
            <w:pPr>
              <w:spacing w:after="0" w:line="240" w:lineRule="auto"/>
              <w:rPr>
                <w:rFonts w:ascii="Century Gothic" w:eastAsia="Times New Roman" w:hAnsi="Century Gothic" w:cs="Calibri"/>
                <w:color w:val="FFFFFF"/>
                <w:sz w:val="16"/>
                <w:szCs w:val="16"/>
                <w:lang w:val="en-US"/>
              </w:rPr>
            </w:pPr>
          </w:p>
        </w:tc>
        <w:tc>
          <w:tcPr>
            <w:tcW w:w="709" w:type="dxa"/>
            <w:tcBorders>
              <w:top w:val="nil"/>
              <w:left w:val="nil"/>
              <w:bottom w:val="single" w:sz="8" w:space="0" w:color="A6A6A6"/>
              <w:right w:val="single" w:sz="8" w:space="0" w:color="A6A6A6"/>
            </w:tcBorders>
            <w:shd w:val="clear" w:color="000000" w:fill="1F3864"/>
            <w:vAlign w:val="center"/>
            <w:hideMark/>
          </w:tcPr>
          <w:p w14:paraId="1A3AD3B4"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CV</w:t>
            </w:r>
          </w:p>
        </w:tc>
        <w:tc>
          <w:tcPr>
            <w:tcW w:w="709" w:type="dxa"/>
            <w:tcBorders>
              <w:top w:val="nil"/>
              <w:left w:val="nil"/>
              <w:bottom w:val="single" w:sz="8" w:space="0" w:color="A6A6A6"/>
              <w:right w:val="single" w:sz="8" w:space="0" w:color="A6A6A6"/>
            </w:tcBorders>
            <w:shd w:val="clear" w:color="000000" w:fill="1F3864"/>
            <w:vAlign w:val="center"/>
            <w:hideMark/>
          </w:tcPr>
          <w:p w14:paraId="5DD85776"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SE</w:t>
            </w:r>
          </w:p>
        </w:tc>
        <w:tc>
          <w:tcPr>
            <w:tcW w:w="850" w:type="dxa"/>
            <w:tcBorders>
              <w:top w:val="nil"/>
              <w:left w:val="nil"/>
              <w:bottom w:val="single" w:sz="8" w:space="0" w:color="A6A6A6"/>
              <w:right w:val="single" w:sz="8" w:space="0" w:color="A6A6A6"/>
            </w:tcBorders>
            <w:shd w:val="clear" w:color="000000" w:fill="1F3864"/>
            <w:vAlign w:val="center"/>
            <w:hideMark/>
          </w:tcPr>
          <w:p w14:paraId="4FA0371D"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IC</w:t>
            </w:r>
          </w:p>
        </w:tc>
        <w:tc>
          <w:tcPr>
            <w:tcW w:w="851" w:type="dxa"/>
            <w:tcBorders>
              <w:top w:val="nil"/>
              <w:left w:val="nil"/>
              <w:bottom w:val="single" w:sz="8" w:space="0" w:color="A6A6A6"/>
              <w:right w:val="single" w:sz="8" w:space="0" w:color="A6A6A6"/>
            </w:tcBorders>
            <w:shd w:val="clear" w:color="000000" w:fill="1F3864"/>
            <w:vAlign w:val="center"/>
            <w:hideMark/>
          </w:tcPr>
          <w:p w14:paraId="506F26EE"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CVD</w:t>
            </w:r>
          </w:p>
        </w:tc>
        <w:tc>
          <w:tcPr>
            <w:tcW w:w="850" w:type="dxa"/>
            <w:tcBorders>
              <w:top w:val="nil"/>
              <w:left w:val="nil"/>
              <w:bottom w:val="single" w:sz="8" w:space="0" w:color="A6A6A6"/>
              <w:right w:val="single" w:sz="8" w:space="0" w:color="A6A6A6"/>
            </w:tcBorders>
            <w:shd w:val="clear" w:color="000000" w:fill="1F3864"/>
            <w:vAlign w:val="center"/>
            <w:hideMark/>
          </w:tcPr>
          <w:p w14:paraId="533558AB"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TNRAI</w:t>
            </w:r>
          </w:p>
        </w:tc>
        <w:tc>
          <w:tcPr>
            <w:tcW w:w="992" w:type="dxa"/>
            <w:tcBorders>
              <w:top w:val="nil"/>
              <w:left w:val="nil"/>
              <w:bottom w:val="single" w:sz="8" w:space="0" w:color="A6A6A6"/>
              <w:right w:val="single" w:sz="8" w:space="0" w:color="A6A6A6"/>
            </w:tcBorders>
            <w:shd w:val="clear" w:color="000000" w:fill="1F3864"/>
            <w:vAlign w:val="center"/>
            <w:hideMark/>
          </w:tcPr>
          <w:p w14:paraId="40977AA7"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TCMM</w:t>
            </w:r>
          </w:p>
        </w:tc>
        <w:tc>
          <w:tcPr>
            <w:tcW w:w="851" w:type="dxa"/>
            <w:tcBorders>
              <w:top w:val="nil"/>
              <w:left w:val="nil"/>
              <w:bottom w:val="single" w:sz="8" w:space="0" w:color="A6A6A6"/>
              <w:right w:val="single" w:sz="8" w:space="0" w:color="A6A6A6"/>
            </w:tcBorders>
            <w:shd w:val="clear" w:color="000000" w:fill="1F3864"/>
            <w:vAlign w:val="center"/>
            <w:hideMark/>
          </w:tcPr>
          <w:p w14:paraId="0E492D0A"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TNRDI</w:t>
            </w:r>
          </w:p>
        </w:tc>
        <w:tc>
          <w:tcPr>
            <w:tcW w:w="709" w:type="dxa"/>
            <w:tcBorders>
              <w:top w:val="nil"/>
              <w:left w:val="nil"/>
              <w:bottom w:val="single" w:sz="8" w:space="0" w:color="A6A6A6"/>
              <w:right w:val="single" w:sz="8" w:space="0" w:color="A6A6A6"/>
            </w:tcBorders>
            <w:shd w:val="clear" w:color="000000" w:fill="1F3864"/>
            <w:vAlign w:val="center"/>
            <w:hideMark/>
          </w:tcPr>
          <w:p w14:paraId="2851A057"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TI</w:t>
            </w:r>
          </w:p>
        </w:tc>
        <w:tc>
          <w:tcPr>
            <w:tcW w:w="803" w:type="dxa"/>
            <w:tcBorders>
              <w:top w:val="nil"/>
              <w:left w:val="nil"/>
              <w:bottom w:val="single" w:sz="8" w:space="0" w:color="A6A6A6"/>
              <w:right w:val="single" w:sz="8" w:space="0" w:color="A6A6A6"/>
            </w:tcBorders>
            <w:shd w:val="clear" w:color="000000" w:fill="1F3864"/>
            <w:vAlign w:val="center"/>
            <w:hideMark/>
          </w:tcPr>
          <w:p w14:paraId="5E80FCED"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TSC</w:t>
            </w:r>
          </w:p>
        </w:tc>
      </w:tr>
      <w:tr w:rsidR="006D7BC5" w:rsidRPr="00296E53" w14:paraId="23B3308B"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auto" w:fill="auto"/>
            <w:vAlign w:val="center"/>
            <w:hideMark/>
          </w:tcPr>
          <w:p w14:paraId="1ACB6EE6"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DGES</w:t>
            </w:r>
          </w:p>
        </w:tc>
        <w:tc>
          <w:tcPr>
            <w:tcW w:w="2277" w:type="dxa"/>
            <w:tcBorders>
              <w:top w:val="nil"/>
              <w:left w:val="nil"/>
              <w:bottom w:val="single" w:sz="8" w:space="0" w:color="A6A6A6"/>
              <w:right w:val="single" w:sz="8" w:space="0" w:color="A6A6A6"/>
            </w:tcBorders>
            <w:shd w:val="clear" w:color="auto" w:fill="auto"/>
            <w:vAlign w:val="center"/>
            <w:hideMark/>
          </w:tcPr>
          <w:p w14:paraId="096A1B31" w14:textId="77777777" w:rsidR="00C75AE4" w:rsidRPr="00296E53" w:rsidRDefault="00C75AE4" w:rsidP="00C75AE4">
            <w:pPr>
              <w:spacing w:after="0" w:line="240" w:lineRule="auto"/>
              <w:ind w:firstLineChars="100" w:firstLine="160"/>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22.   ENSANUT</w:t>
            </w:r>
          </w:p>
        </w:tc>
        <w:tc>
          <w:tcPr>
            <w:tcW w:w="1418" w:type="dxa"/>
            <w:tcBorders>
              <w:top w:val="nil"/>
              <w:left w:val="nil"/>
              <w:bottom w:val="single" w:sz="8" w:space="0" w:color="A6A6A6"/>
              <w:right w:val="single" w:sz="8" w:space="0" w:color="A6A6A6"/>
            </w:tcBorders>
            <w:shd w:val="clear" w:color="auto" w:fill="auto"/>
            <w:vAlign w:val="center"/>
            <w:hideMark/>
          </w:tcPr>
          <w:p w14:paraId="46A1CBAA"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proofErr w:type="spellStart"/>
            <w:r w:rsidRPr="00296E53">
              <w:rPr>
                <w:rFonts w:ascii="Century Gothic" w:eastAsia="Times New Roman" w:hAnsi="Century Gothic" w:cs="Calibri"/>
                <w:sz w:val="16"/>
                <w:szCs w:val="16"/>
                <w:lang w:val="en-US"/>
              </w:rPr>
              <w:t>Sexenal</w:t>
            </w:r>
            <w:proofErr w:type="spellEnd"/>
          </w:p>
        </w:tc>
        <w:tc>
          <w:tcPr>
            <w:tcW w:w="1984" w:type="dxa"/>
            <w:tcBorders>
              <w:top w:val="nil"/>
              <w:left w:val="nil"/>
              <w:bottom w:val="single" w:sz="8" w:space="0" w:color="A6A6A6"/>
              <w:right w:val="single" w:sz="8" w:space="0" w:color="A6A6A6"/>
            </w:tcBorders>
            <w:shd w:val="clear" w:color="auto" w:fill="auto"/>
            <w:vAlign w:val="center"/>
            <w:hideMark/>
          </w:tcPr>
          <w:p w14:paraId="480F20AF"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0765B0F2"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341DF72"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712606B5"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5ADC35FA"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4D0FAB22"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6D252618"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45335264"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5CECA0EA"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w:t>
            </w:r>
          </w:p>
        </w:tc>
        <w:tc>
          <w:tcPr>
            <w:tcW w:w="803" w:type="dxa"/>
            <w:tcBorders>
              <w:top w:val="nil"/>
              <w:left w:val="nil"/>
              <w:bottom w:val="single" w:sz="8" w:space="0" w:color="A6A6A6"/>
              <w:right w:val="single" w:sz="8" w:space="0" w:color="A6A6A6"/>
            </w:tcBorders>
            <w:shd w:val="clear" w:color="auto" w:fill="auto"/>
            <w:vAlign w:val="center"/>
            <w:hideMark/>
          </w:tcPr>
          <w:p w14:paraId="7CE621FF"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r>
      <w:tr w:rsidR="006D7BC5" w:rsidRPr="00296E53" w14:paraId="100FB18E"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000000" w:fill="C5EAFF"/>
            <w:vAlign w:val="center"/>
            <w:hideMark/>
          </w:tcPr>
          <w:p w14:paraId="2C5A168B"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2277" w:type="dxa"/>
            <w:tcBorders>
              <w:top w:val="nil"/>
              <w:left w:val="nil"/>
              <w:bottom w:val="single" w:sz="8" w:space="0" w:color="A6A6A6"/>
              <w:right w:val="single" w:sz="8" w:space="0" w:color="A6A6A6"/>
            </w:tcBorders>
            <w:shd w:val="clear" w:color="000000" w:fill="C5EAFF"/>
            <w:vAlign w:val="center"/>
            <w:hideMark/>
          </w:tcPr>
          <w:p w14:paraId="171FA85E" w14:textId="77777777" w:rsidR="00C75AE4" w:rsidRPr="00296E53"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23.   ENASEM</w:t>
            </w:r>
          </w:p>
        </w:tc>
        <w:tc>
          <w:tcPr>
            <w:tcW w:w="1418" w:type="dxa"/>
            <w:tcBorders>
              <w:top w:val="nil"/>
              <w:left w:val="nil"/>
              <w:bottom w:val="single" w:sz="8" w:space="0" w:color="A6A6A6"/>
              <w:right w:val="single" w:sz="8" w:space="0" w:color="A6A6A6"/>
            </w:tcBorders>
            <w:shd w:val="clear" w:color="000000" w:fill="C5EAFF"/>
            <w:vAlign w:val="center"/>
            <w:hideMark/>
          </w:tcPr>
          <w:p w14:paraId="348AD7C5"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Trienal</w:t>
            </w:r>
            <w:proofErr w:type="spellEnd"/>
          </w:p>
        </w:tc>
        <w:tc>
          <w:tcPr>
            <w:tcW w:w="1984" w:type="dxa"/>
            <w:tcBorders>
              <w:top w:val="nil"/>
              <w:left w:val="nil"/>
              <w:bottom w:val="single" w:sz="8" w:space="0" w:color="A6A6A6"/>
              <w:right w:val="single" w:sz="8" w:space="0" w:color="A6A6A6"/>
            </w:tcBorders>
            <w:shd w:val="clear" w:color="000000" w:fill="C5EAFF"/>
            <w:vAlign w:val="center"/>
            <w:hideMark/>
          </w:tcPr>
          <w:p w14:paraId="4D846E31"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6C842E88"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25FA045B"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0385CEBC"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3F58B433"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4905E151"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000000" w:fill="C5EAFF"/>
            <w:vAlign w:val="center"/>
            <w:hideMark/>
          </w:tcPr>
          <w:p w14:paraId="01A1C3A3"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35DAE436"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2971B49A"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w:t>
            </w:r>
          </w:p>
        </w:tc>
        <w:tc>
          <w:tcPr>
            <w:tcW w:w="803" w:type="dxa"/>
            <w:tcBorders>
              <w:top w:val="nil"/>
              <w:left w:val="nil"/>
              <w:bottom w:val="single" w:sz="8" w:space="0" w:color="A6A6A6"/>
              <w:right w:val="single" w:sz="8" w:space="0" w:color="A6A6A6"/>
            </w:tcBorders>
            <w:shd w:val="clear" w:color="000000" w:fill="C5EAFF"/>
            <w:vAlign w:val="center"/>
            <w:hideMark/>
          </w:tcPr>
          <w:p w14:paraId="0A2A33BE"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D7BC5" w:rsidRPr="00296E53" w14:paraId="195E7482"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auto" w:fill="auto"/>
            <w:vAlign w:val="center"/>
            <w:hideMark/>
          </w:tcPr>
          <w:p w14:paraId="451B4A89"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2277" w:type="dxa"/>
            <w:tcBorders>
              <w:top w:val="nil"/>
              <w:left w:val="nil"/>
              <w:bottom w:val="single" w:sz="8" w:space="0" w:color="A6A6A6"/>
              <w:right w:val="single" w:sz="8" w:space="0" w:color="A6A6A6"/>
            </w:tcBorders>
            <w:shd w:val="clear" w:color="auto" w:fill="auto"/>
            <w:vAlign w:val="center"/>
            <w:hideMark/>
          </w:tcPr>
          <w:p w14:paraId="43073B37" w14:textId="77777777" w:rsidR="00C75AE4" w:rsidRPr="00296E53"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24.   ENUT</w:t>
            </w:r>
          </w:p>
        </w:tc>
        <w:tc>
          <w:tcPr>
            <w:tcW w:w="1418" w:type="dxa"/>
            <w:tcBorders>
              <w:top w:val="nil"/>
              <w:left w:val="nil"/>
              <w:bottom w:val="single" w:sz="8" w:space="0" w:color="A6A6A6"/>
              <w:right w:val="single" w:sz="8" w:space="0" w:color="A6A6A6"/>
            </w:tcBorders>
            <w:shd w:val="clear" w:color="auto" w:fill="auto"/>
            <w:vAlign w:val="center"/>
            <w:hideMark/>
          </w:tcPr>
          <w:p w14:paraId="077797D5"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Quinquenal</w:t>
            </w:r>
            <w:proofErr w:type="spellEnd"/>
          </w:p>
        </w:tc>
        <w:tc>
          <w:tcPr>
            <w:tcW w:w="1984" w:type="dxa"/>
            <w:tcBorders>
              <w:top w:val="nil"/>
              <w:left w:val="nil"/>
              <w:bottom w:val="single" w:sz="8" w:space="0" w:color="A6A6A6"/>
              <w:right w:val="single" w:sz="8" w:space="0" w:color="A6A6A6"/>
            </w:tcBorders>
            <w:shd w:val="clear" w:color="auto" w:fill="auto"/>
            <w:vAlign w:val="center"/>
            <w:hideMark/>
          </w:tcPr>
          <w:p w14:paraId="12087A9B"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A5456E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40980BBB"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2406D6E8"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356F512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0A8A35D2"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733F602D"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6159829A"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41F42948"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03" w:type="dxa"/>
            <w:tcBorders>
              <w:top w:val="nil"/>
              <w:left w:val="nil"/>
              <w:bottom w:val="single" w:sz="8" w:space="0" w:color="A6A6A6"/>
              <w:right w:val="single" w:sz="8" w:space="0" w:color="A6A6A6"/>
            </w:tcBorders>
            <w:shd w:val="clear" w:color="auto" w:fill="auto"/>
            <w:vAlign w:val="center"/>
            <w:hideMark/>
          </w:tcPr>
          <w:p w14:paraId="4EE0991B"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D7BC5" w:rsidRPr="00296E53" w14:paraId="17A1B4DD"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000000" w:fill="C5EAFF"/>
            <w:vAlign w:val="center"/>
            <w:hideMark/>
          </w:tcPr>
          <w:p w14:paraId="57A84E95"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2277" w:type="dxa"/>
            <w:tcBorders>
              <w:top w:val="nil"/>
              <w:left w:val="nil"/>
              <w:bottom w:val="single" w:sz="8" w:space="0" w:color="A6A6A6"/>
              <w:right w:val="single" w:sz="8" w:space="0" w:color="A6A6A6"/>
            </w:tcBorders>
            <w:shd w:val="clear" w:color="000000" w:fill="C5EAFF"/>
            <w:vAlign w:val="center"/>
            <w:hideMark/>
          </w:tcPr>
          <w:p w14:paraId="6EDB7C2C" w14:textId="77777777" w:rsidR="00C75AE4" w:rsidRPr="00296E53"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25.   ENDUTIH*</w:t>
            </w:r>
          </w:p>
        </w:tc>
        <w:tc>
          <w:tcPr>
            <w:tcW w:w="1418" w:type="dxa"/>
            <w:tcBorders>
              <w:top w:val="nil"/>
              <w:left w:val="nil"/>
              <w:bottom w:val="single" w:sz="8" w:space="0" w:color="A6A6A6"/>
              <w:right w:val="single" w:sz="8" w:space="0" w:color="A6A6A6"/>
            </w:tcBorders>
            <w:shd w:val="clear" w:color="000000" w:fill="C5EAFF"/>
            <w:vAlign w:val="center"/>
            <w:hideMark/>
          </w:tcPr>
          <w:p w14:paraId="7537A036"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Anual</w:t>
            </w:r>
            <w:proofErr w:type="spellEnd"/>
          </w:p>
        </w:tc>
        <w:tc>
          <w:tcPr>
            <w:tcW w:w="1984" w:type="dxa"/>
            <w:tcBorders>
              <w:top w:val="nil"/>
              <w:left w:val="nil"/>
              <w:bottom w:val="single" w:sz="8" w:space="0" w:color="A6A6A6"/>
              <w:right w:val="single" w:sz="8" w:space="0" w:color="A6A6A6"/>
            </w:tcBorders>
            <w:shd w:val="clear" w:color="000000" w:fill="C5EAFF"/>
            <w:vAlign w:val="center"/>
            <w:hideMark/>
          </w:tcPr>
          <w:p w14:paraId="720A3E1C"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0DFDBA2D"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59DC0984"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6965FD7E"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08BAC43C"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0006F623"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261D4301"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4BA0503C"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6032F13A"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03" w:type="dxa"/>
            <w:tcBorders>
              <w:top w:val="nil"/>
              <w:left w:val="nil"/>
              <w:bottom w:val="single" w:sz="8" w:space="0" w:color="A6A6A6"/>
              <w:right w:val="single" w:sz="8" w:space="0" w:color="A6A6A6"/>
            </w:tcBorders>
            <w:shd w:val="clear" w:color="000000" w:fill="C5EAFF"/>
            <w:vAlign w:val="center"/>
            <w:hideMark/>
          </w:tcPr>
          <w:p w14:paraId="1D5D1956"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D7BC5" w:rsidRPr="00296E53" w14:paraId="4E57AAFC"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auto" w:fill="auto"/>
            <w:vAlign w:val="center"/>
            <w:hideMark/>
          </w:tcPr>
          <w:p w14:paraId="31A433BD"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2277" w:type="dxa"/>
            <w:tcBorders>
              <w:top w:val="nil"/>
              <w:left w:val="nil"/>
              <w:bottom w:val="single" w:sz="8" w:space="0" w:color="A6A6A6"/>
              <w:right w:val="single" w:sz="8" w:space="0" w:color="A6A6A6"/>
            </w:tcBorders>
            <w:shd w:val="clear" w:color="auto" w:fill="auto"/>
            <w:vAlign w:val="center"/>
            <w:hideMark/>
          </w:tcPr>
          <w:p w14:paraId="0361AF02" w14:textId="77777777" w:rsidR="00C75AE4" w:rsidRPr="00296E53"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26.   ENAID</w:t>
            </w:r>
          </w:p>
        </w:tc>
        <w:tc>
          <w:tcPr>
            <w:tcW w:w="1418" w:type="dxa"/>
            <w:tcBorders>
              <w:top w:val="nil"/>
              <w:left w:val="nil"/>
              <w:bottom w:val="single" w:sz="8" w:space="0" w:color="A6A6A6"/>
              <w:right w:val="single" w:sz="8" w:space="0" w:color="A6A6A6"/>
            </w:tcBorders>
            <w:shd w:val="clear" w:color="auto" w:fill="auto"/>
            <w:vAlign w:val="center"/>
            <w:hideMark/>
          </w:tcPr>
          <w:p w14:paraId="55838EEE"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Trienal</w:t>
            </w:r>
            <w:proofErr w:type="spellEnd"/>
          </w:p>
        </w:tc>
        <w:tc>
          <w:tcPr>
            <w:tcW w:w="1984" w:type="dxa"/>
            <w:tcBorders>
              <w:top w:val="nil"/>
              <w:left w:val="nil"/>
              <w:bottom w:val="single" w:sz="8" w:space="0" w:color="A6A6A6"/>
              <w:right w:val="single" w:sz="8" w:space="0" w:color="A6A6A6"/>
            </w:tcBorders>
            <w:shd w:val="clear" w:color="auto" w:fill="auto"/>
            <w:vAlign w:val="center"/>
            <w:hideMark/>
          </w:tcPr>
          <w:p w14:paraId="330F2AE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7EEF0E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549DE00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47A9741E"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4AD8867A"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6FABDF84"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2FAACC0E"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46630DBA"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61126DD6"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w:t>
            </w:r>
          </w:p>
        </w:tc>
        <w:tc>
          <w:tcPr>
            <w:tcW w:w="803" w:type="dxa"/>
            <w:tcBorders>
              <w:top w:val="nil"/>
              <w:left w:val="nil"/>
              <w:bottom w:val="single" w:sz="8" w:space="0" w:color="A6A6A6"/>
              <w:right w:val="single" w:sz="8" w:space="0" w:color="A6A6A6"/>
            </w:tcBorders>
            <w:shd w:val="clear" w:color="auto" w:fill="auto"/>
            <w:vAlign w:val="center"/>
            <w:hideMark/>
          </w:tcPr>
          <w:p w14:paraId="1B0C9FB5"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D7BC5" w:rsidRPr="00296E53" w14:paraId="01C24937"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000000" w:fill="C5EAFF"/>
            <w:vAlign w:val="center"/>
            <w:hideMark/>
          </w:tcPr>
          <w:p w14:paraId="14476349"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2277" w:type="dxa"/>
            <w:tcBorders>
              <w:top w:val="nil"/>
              <w:left w:val="nil"/>
              <w:bottom w:val="single" w:sz="8" w:space="0" w:color="A6A6A6"/>
              <w:right w:val="single" w:sz="8" w:space="0" w:color="A6A6A6"/>
            </w:tcBorders>
            <w:shd w:val="clear" w:color="000000" w:fill="C5EAFF"/>
            <w:vAlign w:val="center"/>
            <w:hideMark/>
          </w:tcPr>
          <w:p w14:paraId="11B8A3EA" w14:textId="77777777" w:rsidR="00C75AE4" w:rsidRPr="00296E53"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27.   MOCIBA</w:t>
            </w:r>
          </w:p>
        </w:tc>
        <w:tc>
          <w:tcPr>
            <w:tcW w:w="1418" w:type="dxa"/>
            <w:tcBorders>
              <w:top w:val="nil"/>
              <w:left w:val="nil"/>
              <w:bottom w:val="single" w:sz="8" w:space="0" w:color="A6A6A6"/>
              <w:right w:val="single" w:sz="8" w:space="0" w:color="A6A6A6"/>
            </w:tcBorders>
            <w:shd w:val="clear" w:color="000000" w:fill="C5EAFF"/>
            <w:vAlign w:val="center"/>
            <w:hideMark/>
          </w:tcPr>
          <w:p w14:paraId="73750AEA"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Anual</w:t>
            </w:r>
            <w:proofErr w:type="spellEnd"/>
          </w:p>
        </w:tc>
        <w:tc>
          <w:tcPr>
            <w:tcW w:w="1984" w:type="dxa"/>
            <w:tcBorders>
              <w:top w:val="nil"/>
              <w:left w:val="nil"/>
              <w:bottom w:val="single" w:sz="8" w:space="0" w:color="A6A6A6"/>
              <w:right w:val="single" w:sz="8" w:space="0" w:color="A6A6A6"/>
            </w:tcBorders>
            <w:shd w:val="clear" w:color="000000" w:fill="C5EAFF"/>
            <w:vAlign w:val="center"/>
            <w:hideMark/>
          </w:tcPr>
          <w:p w14:paraId="6C30BB13"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2485C2B6"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3A8B8EDE"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16F4B0D2"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4430176B"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03FF4761"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7362101A"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1410BAAC"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60D60A76"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03" w:type="dxa"/>
            <w:tcBorders>
              <w:top w:val="nil"/>
              <w:left w:val="nil"/>
              <w:bottom w:val="single" w:sz="8" w:space="0" w:color="A6A6A6"/>
              <w:right w:val="single" w:sz="8" w:space="0" w:color="A6A6A6"/>
            </w:tcBorders>
            <w:shd w:val="clear" w:color="000000" w:fill="C5EAFF"/>
            <w:vAlign w:val="center"/>
            <w:hideMark/>
          </w:tcPr>
          <w:p w14:paraId="0E5C30A1"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D7BC5" w:rsidRPr="00296E53" w14:paraId="7ECD8C56" w14:textId="77777777" w:rsidTr="006D7BC5">
        <w:trPr>
          <w:trHeight w:val="330"/>
          <w:jc w:val="center"/>
        </w:trPr>
        <w:tc>
          <w:tcPr>
            <w:tcW w:w="1257" w:type="dxa"/>
            <w:tcBorders>
              <w:top w:val="nil"/>
              <w:left w:val="single" w:sz="8" w:space="0" w:color="A6A6A6"/>
              <w:bottom w:val="single" w:sz="8" w:space="0" w:color="A6A6A6"/>
              <w:right w:val="single" w:sz="8" w:space="0" w:color="A6A6A6"/>
            </w:tcBorders>
            <w:shd w:val="clear" w:color="auto" w:fill="auto"/>
            <w:vAlign w:val="center"/>
            <w:hideMark/>
          </w:tcPr>
          <w:p w14:paraId="157F635A"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2277" w:type="dxa"/>
            <w:tcBorders>
              <w:top w:val="nil"/>
              <w:left w:val="nil"/>
              <w:bottom w:val="single" w:sz="8" w:space="0" w:color="A6A6A6"/>
              <w:right w:val="single" w:sz="8" w:space="0" w:color="A6A6A6"/>
            </w:tcBorders>
            <w:shd w:val="clear" w:color="auto" w:fill="auto"/>
            <w:vAlign w:val="center"/>
            <w:hideMark/>
          </w:tcPr>
          <w:p w14:paraId="53133928" w14:textId="77777777" w:rsidR="00C75AE4" w:rsidRPr="00296E53"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28.   ECRIGE-CDMX</w:t>
            </w:r>
          </w:p>
        </w:tc>
        <w:tc>
          <w:tcPr>
            <w:tcW w:w="1418" w:type="dxa"/>
            <w:tcBorders>
              <w:top w:val="nil"/>
              <w:left w:val="nil"/>
              <w:bottom w:val="single" w:sz="8" w:space="0" w:color="A6A6A6"/>
              <w:right w:val="single" w:sz="8" w:space="0" w:color="A6A6A6"/>
            </w:tcBorders>
            <w:shd w:val="clear" w:color="auto" w:fill="auto"/>
            <w:vAlign w:val="center"/>
            <w:hideMark/>
          </w:tcPr>
          <w:p w14:paraId="23848CA0"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proofErr w:type="spellStart"/>
            <w:r w:rsidRPr="00296E53">
              <w:rPr>
                <w:rFonts w:ascii="Century Gothic" w:eastAsia="Times New Roman" w:hAnsi="Century Gothic" w:cs="Calibri"/>
                <w:color w:val="000000"/>
                <w:sz w:val="16"/>
                <w:szCs w:val="16"/>
                <w:lang w:val="en-US"/>
              </w:rPr>
              <w:t>Trienal</w:t>
            </w:r>
            <w:proofErr w:type="spellEnd"/>
          </w:p>
        </w:tc>
        <w:tc>
          <w:tcPr>
            <w:tcW w:w="1984" w:type="dxa"/>
            <w:tcBorders>
              <w:top w:val="nil"/>
              <w:left w:val="nil"/>
              <w:bottom w:val="single" w:sz="8" w:space="0" w:color="A6A6A6"/>
              <w:right w:val="single" w:sz="8" w:space="0" w:color="A6A6A6"/>
            </w:tcBorders>
            <w:shd w:val="clear" w:color="auto" w:fill="auto"/>
            <w:vAlign w:val="center"/>
            <w:hideMark/>
          </w:tcPr>
          <w:p w14:paraId="2F13887A"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1B678C8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E88146D"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75848890"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7877FCF6"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2E3064ED"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119C9FC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40AB7528"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0CBA58C6"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w:t>
            </w:r>
          </w:p>
        </w:tc>
        <w:tc>
          <w:tcPr>
            <w:tcW w:w="803" w:type="dxa"/>
            <w:tcBorders>
              <w:top w:val="nil"/>
              <w:left w:val="nil"/>
              <w:bottom w:val="single" w:sz="8" w:space="0" w:color="A6A6A6"/>
              <w:right w:val="single" w:sz="8" w:space="0" w:color="A6A6A6"/>
            </w:tcBorders>
            <w:shd w:val="clear" w:color="auto" w:fill="auto"/>
            <w:vAlign w:val="center"/>
            <w:hideMark/>
          </w:tcPr>
          <w:p w14:paraId="63EC6437"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C75AE4" w:rsidRPr="00296E53" w14:paraId="4746CBDC" w14:textId="77777777" w:rsidTr="006D7BC5">
        <w:trPr>
          <w:trHeight w:val="330"/>
          <w:jc w:val="center"/>
        </w:trPr>
        <w:tc>
          <w:tcPr>
            <w:tcW w:w="6936" w:type="dxa"/>
            <w:gridSpan w:val="4"/>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2E8DB0D6" w14:textId="77777777" w:rsidR="00C75AE4" w:rsidRPr="00296E53" w:rsidRDefault="00C75AE4" w:rsidP="006D7BC5">
            <w:pPr>
              <w:spacing w:after="0" w:line="240" w:lineRule="auto"/>
              <w:jc w:val="right"/>
              <w:rPr>
                <w:rFonts w:ascii="Century Gothic" w:eastAsia="Times New Roman" w:hAnsi="Century Gothic" w:cs="Calibri"/>
                <w:b/>
                <w:bCs/>
                <w:color w:val="FFFFFF"/>
                <w:sz w:val="16"/>
                <w:szCs w:val="16"/>
                <w:lang w:val="en-US"/>
              </w:rPr>
            </w:pPr>
            <w:proofErr w:type="spellStart"/>
            <w:r w:rsidRPr="00296E53">
              <w:rPr>
                <w:rFonts w:ascii="Century Gothic" w:eastAsia="Times New Roman" w:hAnsi="Century Gothic" w:cs="Calibri"/>
                <w:b/>
                <w:bCs/>
                <w:color w:val="FFFFFF"/>
                <w:sz w:val="16"/>
                <w:szCs w:val="16"/>
                <w:lang w:val="en-US"/>
              </w:rPr>
              <w:t>Porcentaje</w:t>
            </w:r>
            <w:proofErr w:type="spellEnd"/>
            <w:r w:rsidRPr="00296E53">
              <w:rPr>
                <w:rFonts w:ascii="Century Gothic" w:eastAsia="Times New Roman" w:hAnsi="Century Gothic" w:cs="Calibri"/>
                <w:b/>
                <w:bCs/>
                <w:color w:val="FFFFFF"/>
                <w:sz w:val="16"/>
                <w:szCs w:val="16"/>
                <w:lang w:val="en-US"/>
              </w:rPr>
              <w:t xml:space="preserve"> de </w:t>
            </w:r>
            <w:proofErr w:type="spellStart"/>
            <w:r w:rsidRPr="00296E53">
              <w:rPr>
                <w:rFonts w:ascii="Century Gothic" w:eastAsia="Times New Roman" w:hAnsi="Century Gothic" w:cs="Calibri"/>
                <w:b/>
                <w:bCs/>
                <w:color w:val="FFFFFF"/>
                <w:sz w:val="16"/>
                <w:szCs w:val="16"/>
                <w:lang w:val="en-US"/>
              </w:rPr>
              <w:t>entrega</w:t>
            </w:r>
            <w:proofErr w:type="spellEnd"/>
          </w:p>
        </w:tc>
        <w:tc>
          <w:tcPr>
            <w:tcW w:w="709" w:type="dxa"/>
            <w:tcBorders>
              <w:top w:val="nil"/>
              <w:left w:val="nil"/>
              <w:bottom w:val="single" w:sz="8" w:space="0" w:color="A6A6A6"/>
              <w:right w:val="single" w:sz="8" w:space="0" w:color="A6A6A6"/>
            </w:tcBorders>
            <w:shd w:val="clear" w:color="000000" w:fill="1F3864"/>
            <w:vAlign w:val="center"/>
            <w:hideMark/>
          </w:tcPr>
          <w:p w14:paraId="0CC5C34F"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100</w:t>
            </w:r>
          </w:p>
        </w:tc>
        <w:tc>
          <w:tcPr>
            <w:tcW w:w="709" w:type="dxa"/>
            <w:tcBorders>
              <w:top w:val="nil"/>
              <w:left w:val="nil"/>
              <w:bottom w:val="single" w:sz="8" w:space="0" w:color="A6A6A6"/>
              <w:right w:val="single" w:sz="8" w:space="0" w:color="A6A6A6"/>
            </w:tcBorders>
            <w:shd w:val="clear" w:color="000000" w:fill="1F3864"/>
            <w:vAlign w:val="center"/>
            <w:hideMark/>
          </w:tcPr>
          <w:p w14:paraId="19E25EB4"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100</w:t>
            </w:r>
          </w:p>
        </w:tc>
        <w:tc>
          <w:tcPr>
            <w:tcW w:w="850" w:type="dxa"/>
            <w:tcBorders>
              <w:top w:val="nil"/>
              <w:left w:val="nil"/>
              <w:bottom w:val="single" w:sz="8" w:space="0" w:color="A6A6A6"/>
              <w:right w:val="single" w:sz="8" w:space="0" w:color="A6A6A6"/>
            </w:tcBorders>
            <w:shd w:val="clear" w:color="000000" w:fill="1F3864"/>
            <w:vAlign w:val="center"/>
            <w:hideMark/>
          </w:tcPr>
          <w:p w14:paraId="1C57F14A"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100</w:t>
            </w:r>
          </w:p>
        </w:tc>
        <w:tc>
          <w:tcPr>
            <w:tcW w:w="851" w:type="dxa"/>
            <w:tcBorders>
              <w:top w:val="nil"/>
              <w:left w:val="nil"/>
              <w:bottom w:val="single" w:sz="8" w:space="0" w:color="A6A6A6"/>
              <w:right w:val="single" w:sz="8" w:space="0" w:color="A6A6A6"/>
            </w:tcBorders>
            <w:shd w:val="clear" w:color="000000" w:fill="1F3864"/>
            <w:vAlign w:val="center"/>
            <w:hideMark/>
          </w:tcPr>
          <w:p w14:paraId="74D06BD0"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NA</w:t>
            </w:r>
          </w:p>
        </w:tc>
        <w:tc>
          <w:tcPr>
            <w:tcW w:w="850" w:type="dxa"/>
            <w:tcBorders>
              <w:top w:val="nil"/>
              <w:left w:val="nil"/>
              <w:bottom w:val="single" w:sz="8" w:space="0" w:color="A6A6A6"/>
              <w:right w:val="single" w:sz="8" w:space="0" w:color="A6A6A6"/>
            </w:tcBorders>
            <w:shd w:val="clear" w:color="000000" w:fill="1F3864"/>
            <w:vAlign w:val="center"/>
            <w:hideMark/>
          </w:tcPr>
          <w:p w14:paraId="7AC4F2C9"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71</w:t>
            </w:r>
          </w:p>
        </w:tc>
        <w:tc>
          <w:tcPr>
            <w:tcW w:w="992" w:type="dxa"/>
            <w:tcBorders>
              <w:top w:val="nil"/>
              <w:left w:val="nil"/>
              <w:bottom w:val="single" w:sz="8" w:space="0" w:color="A6A6A6"/>
              <w:right w:val="single" w:sz="8" w:space="0" w:color="A6A6A6"/>
            </w:tcBorders>
            <w:shd w:val="clear" w:color="000000" w:fill="1F3864"/>
            <w:vAlign w:val="center"/>
            <w:hideMark/>
          </w:tcPr>
          <w:p w14:paraId="70A2FC55"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71</w:t>
            </w:r>
          </w:p>
        </w:tc>
        <w:tc>
          <w:tcPr>
            <w:tcW w:w="851" w:type="dxa"/>
            <w:tcBorders>
              <w:top w:val="nil"/>
              <w:left w:val="nil"/>
              <w:bottom w:val="single" w:sz="8" w:space="0" w:color="A6A6A6"/>
              <w:right w:val="single" w:sz="8" w:space="0" w:color="A6A6A6"/>
            </w:tcBorders>
            <w:shd w:val="clear" w:color="000000" w:fill="1F3864"/>
            <w:vAlign w:val="center"/>
            <w:hideMark/>
          </w:tcPr>
          <w:p w14:paraId="37B737B3"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 xml:space="preserve">0 </w:t>
            </w:r>
            <w:r w:rsidRPr="00296E53">
              <w:rPr>
                <w:rFonts w:ascii="Century Gothic" w:eastAsia="Times New Roman" w:hAnsi="Century Gothic" w:cs="Calibri"/>
                <w:b/>
                <w:bCs/>
                <w:color w:val="FFFFFF"/>
                <w:sz w:val="16"/>
                <w:szCs w:val="16"/>
                <w:vertAlign w:val="superscript"/>
                <w:lang w:val="en-US"/>
              </w:rPr>
              <w:t>a</w:t>
            </w:r>
          </w:p>
        </w:tc>
        <w:tc>
          <w:tcPr>
            <w:tcW w:w="709" w:type="dxa"/>
            <w:tcBorders>
              <w:top w:val="nil"/>
              <w:left w:val="nil"/>
              <w:bottom w:val="single" w:sz="8" w:space="0" w:color="A6A6A6"/>
              <w:right w:val="single" w:sz="8" w:space="0" w:color="A6A6A6"/>
            </w:tcBorders>
            <w:shd w:val="clear" w:color="000000" w:fill="1F3864"/>
            <w:vAlign w:val="center"/>
            <w:hideMark/>
          </w:tcPr>
          <w:p w14:paraId="0AE09A62"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 xml:space="preserve">0 </w:t>
            </w:r>
            <w:r w:rsidRPr="00296E53">
              <w:rPr>
                <w:rFonts w:ascii="Century Gothic" w:eastAsia="Times New Roman" w:hAnsi="Century Gothic" w:cs="Calibri"/>
                <w:b/>
                <w:bCs/>
                <w:color w:val="FFFFFF"/>
                <w:sz w:val="16"/>
                <w:szCs w:val="16"/>
                <w:vertAlign w:val="superscript"/>
                <w:lang w:val="en-US"/>
              </w:rPr>
              <w:t>a</w:t>
            </w:r>
          </w:p>
        </w:tc>
        <w:tc>
          <w:tcPr>
            <w:tcW w:w="803" w:type="dxa"/>
            <w:tcBorders>
              <w:top w:val="nil"/>
              <w:left w:val="nil"/>
              <w:bottom w:val="single" w:sz="8" w:space="0" w:color="A6A6A6"/>
              <w:right w:val="single" w:sz="8" w:space="0" w:color="A6A6A6"/>
            </w:tcBorders>
            <w:shd w:val="clear" w:color="000000" w:fill="1F3864"/>
            <w:vAlign w:val="center"/>
            <w:hideMark/>
          </w:tcPr>
          <w:p w14:paraId="658F5899"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71</w:t>
            </w:r>
          </w:p>
        </w:tc>
      </w:tr>
    </w:tbl>
    <w:p w14:paraId="02078E71" w14:textId="77777777" w:rsidR="00C167B4" w:rsidRPr="00296E53" w:rsidRDefault="00C167B4" w:rsidP="00C167B4">
      <w:pPr>
        <w:spacing w:before="240"/>
        <w:jc w:val="both"/>
        <w:rPr>
          <w:rFonts w:ascii="Century Gothic" w:hAnsi="Century Gothic" w:cstheme="minorHAnsi"/>
          <w:sz w:val="19"/>
          <w:szCs w:val="19"/>
        </w:rPr>
      </w:pPr>
      <w:r w:rsidRPr="00296E53">
        <w:rPr>
          <w:rFonts w:ascii="Century Gothic" w:hAnsi="Century Gothic" w:cstheme="majorHAnsi"/>
          <w:sz w:val="15"/>
          <w:szCs w:val="15"/>
        </w:rPr>
        <w:t xml:space="preserve">NA: La cobertura de la variable de diseño sólo aplica a las encuestas con muestreo no probabilístico / </w:t>
      </w:r>
      <w:r w:rsidRPr="00296E53">
        <w:rPr>
          <w:rFonts w:ascii="Century Gothic" w:hAnsi="Century Gothic" w:cs="Calibri"/>
          <w:sz w:val="15"/>
          <w:szCs w:val="15"/>
        </w:rPr>
        <w:t>ª Los</w:t>
      </w:r>
      <w:r w:rsidRPr="00296E53">
        <w:rPr>
          <w:rFonts w:ascii="Century Gothic" w:hAnsi="Century Gothic" w:cstheme="majorHAnsi"/>
          <w:sz w:val="15"/>
          <w:szCs w:val="15"/>
        </w:rPr>
        <w:t xml:space="preserve"> programas de DGES y DGEGSPJ no realizan imputación por lo que no han entregado información de la TNRDI y TI, sin embargo, se considera que, aunque tengan un valor de cero deben ser entregadas / *El programa ENDUTIH reporta TNR_AI sin ponderación.</w:t>
      </w:r>
    </w:p>
    <w:p w14:paraId="76F03E85" w14:textId="7EAA97DD" w:rsidR="00C167B4" w:rsidRPr="00296E53" w:rsidRDefault="00C167B4" w:rsidP="00C167B4">
      <w:pPr>
        <w:spacing w:before="240"/>
        <w:jc w:val="both"/>
        <w:rPr>
          <w:rFonts w:ascii="Century Gothic" w:hAnsi="Century Gothic" w:cstheme="minorHAnsi"/>
          <w:sz w:val="19"/>
          <w:szCs w:val="19"/>
        </w:rPr>
      </w:pPr>
      <w:r w:rsidRPr="00296E53">
        <w:rPr>
          <w:rFonts w:ascii="Century Gothic" w:hAnsi="Century Gothic" w:cstheme="minorHAnsi"/>
          <w:sz w:val="19"/>
          <w:szCs w:val="19"/>
        </w:rPr>
        <w:t>Por otro lado, se publicaron otros programas que no presentaron indicadores de precisión. Si bien la mayoría de estos programas surgieron para atender las necesidades de información derivadas de la contingencia sanitaria Covid-19</w:t>
      </w:r>
      <w:r w:rsidR="00077D19" w:rsidRPr="00296E53">
        <w:rPr>
          <w:rFonts w:ascii="Century Gothic" w:hAnsi="Century Gothic" w:cstheme="minorHAnsi"/>
          <w:sz w:val="19"/>
          <w:szCs w:val="19"/>
        </w:rPr>
        <w:t>,</w:t>
      </w:r>
      <w:r w:rsidRPr="00296E53">
        <w:rPr>
          <w:rFonts w:ascii="Century Gothic" w:hAnsi="Century Gothic" w:cstheme="minorHAnsi"/>
          <w:sz w:val="19"/>
          <w:szCs w:val="19"/>
        </w:rPr>
        <w:t xml:space="preserve"> es importante que también se incluyan en los metadatos los indicadores de calidad respectivos. Las encuestas que se encuentran en esta situación son:</w:t>
      </w:r>
    </w:p>
    <w:p w14:paraId="799B5A5E" w14:textId="77777777"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Encuesta Nacional de Agencias Funerarias ante COVID-19 2020. ENAF</w:t>
      </w:r>
    </w:p>
    <w:p w14:paraId="57E6C833" w14:textId="77777777"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Encuesta sobre el Impacto Económico Generado por COVID-19 en las Empresas (ECOVID-IE) 2020</w:t>
      </w:r>
    </w:p>
    <w:p w14:paraId="4B9B36B3" w14:textId="1AC44266"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Recopilación de Información de los Cementerios Públicos en las Zonas Metropolitanas del País</w:t>
      </w:r>
      <w:r w:rsidR="00682919" w:rsidRPr="00296E53">
        <w:rPr>
          <w:rStyle w:val="Refdenotaalpie"/>
          <w:rFonts w:ascii="Century Gothic" w:hAnsi="Century Gothic" w:cstheme="minorHAnsi"/>
          <w:sz w:val="19"/>
          <w:szCs w:val="19"/>
        </w:rPr>
        <w:footnoteReference w:id="9"/>
      </w:r>
    </w:p>
    <w:p w14:paraId="1C8E59A1" w14:textId="77777777"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Encuesta Telefónica sobre Confianza del Consumidor (ETCO) 2020</w:t>
      </w:r>
    </w:p>
    <w:p w14:paraId="1C113ED8" w14:textId="77777777"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Encuesta Telefónica de Ocupación y Empleo (ETOE)</w:t>
      </w:r>
    </w:p>
    <w:p w14:paraId="5CA4B7A3" w14:textId="77777777"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ENOE Nueva Edición</w:t>
      </w:r>
    </w:p>
    <w:p w14:paraId="3625D9E2" w14:textId="77777777"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Encuesta Telefónica sobre COVID-19 y Mercado Laboral (ECOVID-ML)</w:t>
      </w:r>
    </w:p>
    <w:p w14:paraId="65247BA1" w14:textId="5F3EFEEC" w:rsidR="00C167B4" w:rsidRPr="00296E53" w:rsidRDefault="00C167B4" w:rsidP="00C167B4">
      <w:pPr>
        <w:spacing w:before="240"/>
        <w:jc w:val="both"/>
        <w:rPr>
          <w:rFonts w:ascii="Century Gothic" w:hAnsi="Century Gothic" w:cstheme="minorHAnsi"/>
          <w:sz w:val="19"/>
          <w:szCs w:val="19"/>
        </w:rPr>
      </w:pPr>
      <w:r w:rsidRPr="00296E53">
        <w:rPr>
          <w:rFonts w:ascii="Century Gothic" w:hAnsi="Century Gothic" w:cstheme="minorHAnsi"/>
          <w:sz w:val="19"/>
          <w:szCs w:val="19"/>
        </w:rPr>
        <w:t>Cabe señalar que</w:t>
      </w:r>
      <w:r w:rsidR="000F2E0A" w:rsidRPr="00296E53">
        <w:rPr>
          <w:rFonts w:ascii="Century Gothic" w:hAnsi="Century Gothic" w:cstheme="minorHAnsi"/>
          <w:sz w:val="19"/>
          <w:szCs w:val="19"/>
        </w:rPr>
        <w:t xml:space="preserve"> </w:t>
      </w:r>
      <w:r w:rsidR="00915E45" w:rsidRPr="00296E53">
        <w:rPr>
          <w:rFonts w:ascii="Century Gothic" w:hAnsi="Century Gothic" w:cstheme="minorHAnsi"/>
          <w:sz w:val="19"/>
          <w:szCs w:val="19"/>
        </w:rPr>
        <w:t xml:space="preserve">se </w:t>
      </w:r>
      <w:r w:rsidR="000F2E0A" w:rsidRPr="00296E53">
        <w:rPr>
          <w:rFonts w:ascii="Century Gothic" w:hAnsi="Century Gothic" w:cstheme="minorHAnsi"/>
          <w:sz w:val="19"/>
          <w:szCs w:val="19"/>
        </w:rPr>
        <w:t xml:space="preserve">siguen presentando problemas con </w:t>
      </w:r>
      <w:r w:rsidRPr="00296E53">
        <w:rPr>
          <w:rFonts w:ascii="Century Gothic" w:hAnsi="Century Gothic" w:cstheme="minorHAnsi"/>
          <w:sz w:val="19"/>
          <w:szCs w:val="19"/>
        </w:rPr>
        <w:t>el formato establecido para la publicación en metadatos, lo que dificulta la integración e interpretación de la información. Algunos tienen columnas invertidas, en otros casos los reportes son inconsistentes entre los distintos períodos reportados y algunas columnas están en blanco. Es necesario seguir reforzando el compromiso de las áreas de entregar a tiempo y en los formatos establecidos.</w:t>
      </w:r>
    </w:p>
    <w:p w14:paraId="43A7C919" w14:textId="77777777" w:rsidR="00BE519D" w:rsidRPr="00296E53" w:rsidRDefault="00BE519D">
      <w:pPr>
        <w:rPr>
          <w:rFonts w:ascii="Century Gothic" w:hAnsi="Century Gothic" w:cstheme="minorHAnsi"/>
          <w:sz w:val="19"/>
          <w:szCs w:val="19"/>
        </w:rPr>
      </w:pPr>
      <w:r w:rsidRPr="00296E53">
        <w:rPr>
          <w:rFonts w:ascii="Century Gothic" w:hAnsi="Century Gothic" w:cstheme="minorHAnsi"/>
          <w:sz w:val="19"/>
          <w:szCs w:val="19"/>
        </w:rPr>
        <w:br w:type="page"/>
      </w:r>
    </w:p>
    <w:p w14:paraId="16DA965B" w14:textId="77777777" w:rsidR="000F2E0A" w:rsidRPr="00296E53" w:rsidRDefault="000F2E0A" w:rsidP="000F2E0A">
      <w:pPr>
        <w:spacing w:before="240"/>
        <w:jc w:val="both"/>
        <w:rPr>
          <w:rFonts w:ascii="Century Gothic" w:hAnsi="Century Gothic" w:cstheme="minorHAnsi"/>
          <w:b/>
          <w:sz w:val="19"/>
          <w:szCs w:val="19"/>
        </w:rPr>
      </w:pPr>
      <w:r w:rsidRPr="00296E53">
        <w:rPr>
          <w:rFonts w:ascii="Century Gothic" w:hAnsi="Century Gothic" w:cstheme="minorHAnsi"/>
          <w:b/>
          <w:sz w:val="19"/>
          <w:szCs w:val="19"/>
        </w:rPr>
        <w:t>INDICADORES DE USO EXTERNO</w:t>
      </w:r>
    </w:p>
    <w:p w14:paraId="5AC6E578" w14:textId="77777777" w:rsidR="00BE519D" w:rsidRPr="00296E53" w:rsidRDefault="00BE519D" w:rsidP="000F2E0A">
      <w:pPr>
        <w:spacing w:before="240"/>
        <w:jc w:val="both"/>
        <w:rPr>
          <w:rFonts w:ascii="Century Gothic" w:hAnsi="Century Gothic" w:cstheme="minorHAnsi"/>
          <w:sz w:val="19"/>
          <w:szCs w:val="19"/>
        </w:rPr>
      </w:pPr>
    </w:p>
    <w:p w14:paraId="1B5E0037" w14:textId="77777777" w:rsidR="000F2E0A" w:rsidRPr="00296E53" w:rsidRDefault="000F2E0A" w:rsidP="000F2E0A">
      <w:pPr>
        <w:spacing w:before="240"/>
        <w:jc w:val="both"/>
        <w:rPr>
          <w:rFonts w:ascii="Century Gothic" w:hAnsi="Century Gothic" w:cstheme="minorHAnsi"/>
          <w:sz w:val="19"/>
          <w:szCs w:val="19"/>
        </w:rPr>
      </w:pPr>
      <w:r w:rsidRPr="00296E53">
        <w:rPr>
          <w:rFonts w:ascii="Century Gothic" w:hAnsi="Century Gothic" w:cstheme="minorHAnsi"/>
          <w:sz w:val="19"/>
          <w:szCs w:val="19"/>
        </w:rPr>
        <w:t>Para los programas con muestreo no probabilístico se presenta un resumen del indicador de la cobertura de la variable de diseño (cuadro A.6.3.).  El número de casos totales corresponde a los dominios de estudio por el número de observaciones correspondientes a la periodicidad. Adicionalmente se muestra la distribución de casos en que la cobertura de la variable de diseño presenta valores considerados de alta precisión (&gt;=80%), de precisión moderada (60-80%) y baja precisión (&lt;60%).</w:t>
      </w:r>
      <w:r w:rsidR="001A3395" w:rsidRPr="00296E53">
        <w:rPr>
          <w:rFonts w:ascii="Century Gothic" w:hAnsi="Century Gothic" w:cstheme="minorHAnsi"/>
          <w:sz w:val="19"/>
          <w:szCs w:val="19"/>
        </w:rPr>
        <w:t xml:space="preserve">  La cobertura de diseño en 2020 es igual a 2019, lo cual muestra el esfuerzo realizado para que estos indicadores no cayeran a pesar de las restricciones operativas impuestas por la pandemia</w:t>
      </w:r>
      <w:r w:rsidR="007B7604" w:rsidRPr="00296E53">
        <w:rPr>
          <w:rFonts w:ascii="Century Gothic" w:hAnsi="Century Gothic" w:cstheme="minorHAnsi"/>
          <w:sz w:val="19"/>
          <w:szCs w:val="19"/>
        </w:rPr>
        <w:t>.</w:t>
      </w:r>
    </w:p>
    <w:p w14:paraId="003B0CBC" w14:textId="77777777" w:rsidR="00BE519D" w:rsidRPr="00296E53" w:rsidRDefault="00BE519D" w:rsidP="000F2E0A">
      <w:pPr>
        <w:spacing w:before="240"/>
        <w:jc w:val="both"/>
        <w:rPr>
          <w:rFonts w:ascii="Century Gothic" w:hAnsi="Century Gothic" w:cstheme="minorHAnsi"/>
          <w:sz w:val="19"/>
          <w:szCs w:val="19"/>
        </w:rPr>
      </w:pPr>
    </w:p>
    <w:p w14:paraId="74643819" w14:textId="77777777" w:rsidR="00C167B4" w:rsidRPr="00296E53" w:rsidRDefault="000F2E0A" w:rsidP="000D59FD">
      <w:pPr>
        <w:spacing w:after="120"/>
        <w:jc w:val="center"/>
        <w:rPr>
          <w:rFonts w:ascii="Century Gothic" w:hAnsi="Century Gothic" w:cstheme="minorHAnsi"/>
          <w:b/>
          <w:sz w:val="19"/>
          <w:szCs w:val="19"/>
        </w:rPr>
      </w:pPr>
      <w:r w:rsidRPr="00296E53">
        <w:rPr>
          <w:rFonts w:ascii="Century Gothic" w:hAnsi="Century Gothic" w:cstheme="majorHAnsi"/>
          <w:b/>
          <w:sz w:val="19"/>
          <w:szCs w:val="19"/>
        </w:rPr>
        <w:t>A.6.3. Frecuencias de la Cobertura de Diseño en encuestas en unidades económicas</w:t>
      </w:r>
      <w:r w:rsidRPr="00296E53">
        <w:rPr>
          <w:rFonts w:ascii="Century Gothic" w:hAnsi="Century Gothic" w:cstheme="majorHAnsi"/>
          <w:b/>
          <w:sz w:val="19"/>
          <w:szCs w:val="19"/>
        </w:rPr>
        <w:br/>
        <w:t xml:space="preserve"> de acuerdo con los umbrales aprobados en el Comité por Programa </w:t>
      </w:r>
    </w:p>
    <w:tbl>
      <w:tblPr>
        <w:tblW w:w="14176" w:type="dxa"/>
        <w:jc w:val="center"/>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ayout w:type="fixed"/>
        <w:tblLook w:val="04A0" w:firstRow="1" w:lastRow="0" w:firstColumn="1" w:lastColumn="0" w:noHBand="0" w:noVBand="1"/>
      </w:tblPr>
      <w:tblGrid>
        <w:gridCol w:w="841"/>
        <w:gridCol w:w="1276"/>
        <w:gridCol w:w="1134"/>
        <w:gridCol w:w="992"/>
        <w:gridCol w:w="709"/>
        <w:gridCol w:w="1134"/>
        <w:gridCol w:w="708"/>
        <w:gridCol w:w="993"/>
        <w:gridCol w:w="850"/>
        <w:gridCol w:w="1134"/>
        <w:gridCol w:w="709"/>
        <w:gridCol w:w="992"/>
        <w:gridCol w:w="862"/>
        <w:gridCol w:w="1123"/>
        <w:gridCol w:w="719"/>
      </w:tblGrid>
      <w:tr w:rsidR="000D59FD" w:rsidRPr="00296E53" w14:paraId="24B3865C" w14:textId="77777777" w:rsidTr="001A3395">
        <w:trPr>
          <w:trHeight w:val="342"/>
          <w:tblHeader/>
          <w:jc w:val="center"/>
        </w:trPr>
        <w:tc>
          <w:tcPr>
            <w:tcW w:w="841" w:type="dxa"/>
            <w:vMerge w:val="restart"/>
            <w:shd w:val="clear" w:color="000000" w:fill="0F243E"/>
            <w:vAlign w:val="center"/>
          </w:tcPr>
          <w:p w14:paraId="43C912F1" w14:textId="77777777" w:rsidR="000D59FD" w:rsidRPr="00296E53" w:rsidRDefault="000D59FD" w:rsidP="00CA5FDA">
            <w:pPr>
              <w:spacing w:after="0" w:line="240" w:lineRule="auto"/>
              <w:jc w:val="center"/>
              <w:rPr>
                <w:rFonts w:ascii="Century Gothic" w:eastAsia="Times New Roman" w:hAnsi="Century Gothic" w:cs="Calibri"/>
                <w:bCs/>
                <w:color w:val="FFFFFF"/>
                <w:sz w:val="17"/>
                <w:szCs w:val="17"/>
                <w:lang w:val="en-US"/>
              </w:rPr>
            </w:pPr>
            <w:r w:rsidRPr="00296E53">
              <w:rPr>
                <w:rFonts w:ascii="Century Gothic" w:eastAsia="Times New Roman" w:hAnsi="Century Gothic" w:cs="Calibri"/>
                <w:bCs/>
                <w:color w:val="FFFFFF"/>
                <w:sz w:val="17"/>
                <w:szCs w:val="17"/>
                <w:lang w:val="en-US"/>
              </w:rPr>
              <w:t>UA</w:t>
            </w:r>
          </w:p>
        </w:tc>
        <w:tc>
          <w:tcPr>
            <w:tcW w:w="1276" w:type="dxa"/>
            <w:vMerge w:val="restart"/>
            <w:shd w:val="clear" w:color="000000" w:fill="0F243E"/>
            <w:vAlign w:val="center"/>
          </w:tcPr>
          <w:p w14:paraId="13E87328" w14:textId="77777777" w:rsidR="000D59FD" w:rsidRPr="00296E53" w:rsidRDefault="000D59FD" w:rsidP="00CA5FDA">
            <w:pPr>
              <w:spacing w:after="0" w:line="240" w:lineRule="auto"/>
              <w:jc w:val="center"/>
              <w:rPr>
                <w:rFonts w:ascii="Century Gothic" w:eastAsia="Times New Roman" w:hAnsi="Century Gothic" w:cs="Calibri"/>
                <w:bCs/>
                <w:color w:val="FFFFFF"/>
                <w:sz w:val="17"/>
                <w:szCs w:val="17"/>
                <w:lang w:val="en-US"/>
              </w:rPr>
            </w:pPr>
            <w:proofErr w:type="spellStart"/>
            <w:r w:rsidRPr="00296E53">
              <w:rPr>
                <w:rFonts w:ascii="Century Gothic" w:eastAsia="Times New Roman" w:hAnsi="Century Gothic" w:cs="Calibri"/>
                <w:bCs/>
                <w:color w:val="FFFFFF"/>
                <w:sz w:val="17"/>
                <w:szCs w:val="17"/>
                <w:lang w:val="en-US"/>
              </w:rPr>
              <w:t>Periodicidad</w:t>
            </w:r>
            <w:proofErr w:type="spellEnd"/>
          </w:p>
        </w:tc>
        <w:tc>
          <w:tcPr>
            <w:tcW w:w="1134" w:type="dxa"/>
            <w:vMerge w:val="restart"/>
            <w:shd w:val="clear" w:color="000000" w:fill="0F243E"/>
            <w:vAlign w:val="center"/>
          </w:tcPr>
          <w:p w14:paraId="57968392" w14:textId="4F38EB8A" w:rsidR="000D59FD" w:rsidRPr="00296E53" w:rsidRDefault="000D59FD" w:rsidP="00CA5FDA">
            <w:pPr>
              <w:spacing w:after="0" w:line="240" w:lineRule="auto"/>
              <w:jc w:val="center"/>
              <w:rPr>
                <w:rFonts w:ascii="Century Gothic" w:eastAsia="Times New Roman" w:hAnsi="Century Gothic" w:cs="Calibri"/>
                <w:bCs/>
                <w:color w:val="FFFFFF"/>
                <w:sz w:val="17"/>
                <w:szCs w:val="17"/>
                <w:lang w:val="en-US"/>
              </w:rPr>
            </w:pPr>
            <w:proofErr w:type="spellStart"/>
            <w:r w:rsidRPr="00296E53">
              <w:rPr>
                <w:rFonts w:ascii="Century Gothic" w:eastAsia="Times New Roman" w:hAnsi="Century Gothic" w:cs="Calibri"/>
                <w:bCs/>
                <w:color w:val="FFFFFF"/>
                <w:sz w:val="17"/>
                <w:szCs w:val="17"/>
                <w:lang w:val="en-US"/>
              </w:rPr>
              <w:t>Programa</w:t>
            </w:r>
            <w:proofErr w:type="spellEnd"/>
            <w:r w:rsidR="002207A6">
              <w:rPr>
                <w:rFonts w:ascii="Century Gothic" w:eastAsia="Times New Roman" w:hAnsi="Century Gothic" w:cs="Calibri"/>
                <w:bCs/>
                <w:color w:val="FFFFFF"/>
                <w:sz w:val="17"/>
                <w:szCs w:val="17"/>
                <w:lang w:val="en-US"/>
              </w:rPr>
              <w:t xml:space="preserve"> / </w:t>
            </w:r>
            <w:proofErr w:type="spellStart"/>
            <w:r w:rsidR="002207A6">
              <w:rPr>
                <w:rFonts w:ascii="Century Gothic" w:eastAsia="Times New Roman" w:hAnsi="Century Gothic" w:cs="Calibri"/>
                <w:bCs/>
                <w:color w:val="FFFFFF"/>
                <w:sz w:val="17"/>
                <w:szCs w:val="17"/>
                <w:lang w:val="en-US"/>
              </w:rPr>
              <w:t>Proceso</w:t>
            </w:r>
            <w:proofErr w:type="spellEnd"/>
          </w:p>
        </w:tc>
        <w:tc>
          <w:tcPr>
            <w:tcW w:w="3543" w:type="dxa"/>
            <w:gridSpan w:val="4"/>
            <w:shd w:val="clear" w:color="000000" w:fill="0F243E"/>
            <w:vAlign w:val="center"/>
          </w:tcPr>
          <w:p w14:paraId="4442612A" w14:textId="352891C0" w:rsidR="000D59FD" w:rsidRPr="00296E53" w:rsidRDefault="000D59FD" w:rsidP="00CA5FDA">
            <w:pPr>
              <w:spacing w:after="0" w:line="240" w:lineRule="auto"/>
              <w:jc w:val="center"/>
              <w:rPr>
                <w:rFonts w:ascii="Century Gothic" w:eastAsia="Times New Roman" w:hAnsi="Century Gothic" w:cs="Calibri"/>
                <w:bCs/>
                <w:color w:val="FFFFFF" w:themeColor="background1"/>
                <w:sz w:val="17"/>
                <w:szCs w:val="17"/>
                <w:lang w:val="en-US"/>
              </w:rPr>
            </w:pPr>
            <w:proofErr w:type="spellStart"/>
            <w:r w:rsidRPr="00296E53">
              <w:rPr>
                <w:rFonts w:ascii="Century Gothic" w:eastAsia="Times New Roman" w:hAnsi="Century Gothic" w:cs="Calibri"/>
                <w:bCs/>
                <w:color w:val="FFFFFF" w:themeColor="background1"/>
                <w:sz w:val="17"/>
                <w:szCs w:val="17"/>
                <w:lang w:val="en-US"/>
              </w:rPr>
              <w:t>Indicadores</w:t>
            </w:r>
            <w:proofErr w:type="spellEnd"/>
            <w:r w:rsidRPr="00296E53">
              <w:rPr>
                <w:rFonts w:ascii="Century Gothic" w:eastAsia="Times New Roman" w:hAnsi="Century Gothic" w:cs="Calibri"/>
                <w:bCs/>
                <w:color w:val="FFFFFF" w:themeColor="background1"/>
                <w:sz w:val="17"/>
                <w:szCs w:val="17"/>
                <w:lang w:val="en-US"/>
              </w:rPr>
              <w:t xml:space="preserve"> </w:t>
            </w:r>
            <w:proofErr w:type="spellStart"/>
            <w:r w:rsidRPr="00296E53">
              <w:rPr>
                <w:rFonts w:ascii="Century Gothic" w:eastAsia="Times New Roman" w:hAnsi="Century Gothic" w:cs="Calibri"/>
                <w:bCs/>
                <w:color w:val="FFFFFF" w:themeColor="background1"/>
                <w:sz w:val="17"/>
                <w:szCs w:val="17"/>
                <w:lang w:val="en-US"/>
              </w:rPr>
              <w:t>recibidos</w:t>
            </w:r>
            <w:proofErr w:type="spellEnd"/>
            <w:r w:rsidRPr="00296E53">
              <w:rPr>
                <w:rFonts w:ascii="Century Gothic" w:eastAsia="Times New Roman" w:hAnsi="Century Gothic" w:cs="Calibri"/>
                <w:bCs/>
                <w:color w:val="FFFFFF" w:themeColor="background1"/>
                <w:sz w:val="17"/>
                <w:szCs w:val="17"/>
                <w:lang w:val="en-US"/>
              </w:rPr>
              <w:t xml:space="preserve"> </w:t>
            </w:r>
            <w:proofErr w:type="spellStart"/>
            <w:r w:rsidRPr="00296E53">
              <w:rPr>
                <w:rFonts w:ascii="Century Gothic" w:eastAsia="Times New Roman" w:hAnsi="Century Gothic" w:cs="Calibri"/>
                <w:bCs/>
                <w:color w:val="FFFFFF" w:themeColor="background1"/>
                <w:sz w:val="17"/>
                <w:szCs w:val="17"/>
                <w:lang w:val="en-US"/>
              </w:rPr>
              <w:t>en</w:t>
            </w:r>
            <w:proofErr w:type="spellEnd"/>
            <w:r w:rsidRPr="00296E53">
              <w:rPr>
                <w:rFonts w:ascii="Century Gothic" w:eastAsia="Times New Roman" w:hAnsi="Century Gothic" w:cs="Calibri"/>
                <w:bCs/>
                <w:color w:val="FFFFFF" w:themeColor="background1"/>
                <w:sz w:val="17"/>
                <w:szCs w:val="17"/>
                <w:lang w:val="en-US"/>
              </w:rPr>
              <w:t xml:space="preserve"> 2018</w:t>
            </w:r>
            <w:r w:rsidR="00D103B2" w:rsidRPr="00296E53">
              <w:rPr>
                <w:rFonts w:ascii="Century Gothic" w:eastAsia="Times New Roman" w:hAnsi="Century Gothic" w:cs="Calibri"/>
                <w:bCs/>
                <w:color w:val="FFFFFF" w:themeColor="background1"/>
                <w:sz w:val="17"/>
                <w:szCs w:val="17"/>
                <w:lang w:val="en-US"/>
              </w:rPr>
              <w:t>*</w:t>
            </w:r>
          </w:p>
        </w:tc>
        <w:tc>
          <w:tcPr>
            <w:tcW w:w="3686" w:type="dxa"/>
            <w:gridSpan w:val="4"/>
            <w:shd w:val="clear" w:color="auto" w:fill="0F243E"/>
            <w:vAlign w:val="center"/>
          </w:tcPr>
          <w:p w14:paraId="41965C07" w14:textId="706C4099" w:rsidR="000D59FD" w:rsidRPr="00296E53" w:rsidRDefault="000D59FD" w:rsidP="00CA5FDA">
            <w:pPr>
              <w:spacing w:after="0" w:line="240" w:lineRule="auto"/>
              <w:jc w:val="center"/>
              <w:rPr>
                <w:rFonts w:ascii="Century Gothic" w:eastAsia="Times New Roman" w:hAnsi="Century Gothic" w:cs="Calibri"/>
                <w:bCs/>
                <w:color w:val="FFFFFF" w:themeColor="background1"/>
                <w:sz w:val="17"/>
                <w:szCs w:val="17"/>
                <w:lang w:val="en-US"/>
              </w:rPr>
            </w:pPr>
            <w:proofErr w:type="spellStart"/>
            <w:r w:rsidRPr="00296E53">
              <w:rPr>
                <w:rFonts w:ascii="Century Gothic" w:eastAsia="Times New Roman" w:hAnsi="Century Gothic" w:cs="Calibri"/>
                <w:bCs/>
                <w:color w:val="FFFFFF" w:themeColor="background1"/>
                <w:sz w:val="17"/>
                <w:szCs w:val="17"/>
                <w:lang w:val="en-US"/>
              </w:rPr>
              <w:t>Indicadores</w:t>
            </w:r>
            <w:proofErr w:type="spellEnd"/>
            <w:r w:rsidRPr="00296E53">
              <w:rPr>
                <w:rFonts w:ascii="Century Gothic" w:eastAsia="Times New Roman" w:hAnsi="Century Gothic" w:cs="Calibri"/>
                <w:bCs/>
                <w:color w:val="FFFFFF" w:themeColor="background1"/>
                <w:sz w:val="17"/>
                <w:szCs w:val="17"/>
                <w:lang w:val="en-US"/>
              </w:rPr>
              <w:t xml:space="preserve"> </w:t>
            </w:r>
            <w:proofErr w:type="spellStart"/>
            <w:r w:rsidRPr="00296E53">
              <w:rPr>
                <w:rFonts w:ascii="Century Gothic" w:eastAsia="Times New Roman" w:hAnsi="Century Gothic" w:cs="Calibri"/>
                <w:bCs/>
                <w:color w:val="FFFFFF" w:themeColor="background1"/>
                <w:sz w:val="17"/>
                <w:szCs w:val="17"/>
                <w:lang w:val="en-US"/>
              </w:rPr>
              <w:t>recibidos</w:t>
            </w:r>
            <w:proofErr w:type="spellEnd"/>
            <w:r w:rsidRPr="00296E53">
              <w:rPr>
                <w:rFonts w:ascii="Century Gothic" w:eastAsia="Times New Roman" w:hAnsi="Century Gothic" w:cs="Calibri"/>
                <w:bCs/>
                <w:color w:val="FFFFFF" w:themeColor="background1"/>
                <w:sz w:val="17"/>
                <w:szCs w:val="17"/>
                <w:lang w:val="en-US"/>
              </w:rPr>
              <w:t xml:space="preserve"> </w:t>
            </w:r>
            <w:proofErr w:type="spellStart"/>
            <w:r w:rsidRPr="00296E53">
              <w:rPr>
                <w:rFonts w:ascii="Century Gothic" w:eastAsia="Times New Roman" w:hAnsi="Century Gothic" w:cs="Calibri"/>
                <w:bCs/>
                <w:color w:val="FFFFFF" w:themeColor="background1"/>
                <w:sz w:val="17"/>
                <w:szCs w:val="17"/>
                <w:lang w:val="en-US"/>
              </w:rPr>
              <w:t>en</w:t>
            </w:r>
            <w:proofErr w:type="spellEnd"/>
            <w:r w:rsidRPr="00296E53">
              <w:rPr>
                <w:rFonts w:ascii="Century Gothic" w:eastAsia="Times New Roman" w:hAnsi="Century Gothic" w:cs="Calibri"/>
                <w:bCs/>
                <w:color w:val="FFFFFF" w:themeColor="background1"/>
                <w:sz w:val="17"/>
                <w:szCs w:val="17"/>
                <w:lang w:val="en-US"/>
              </w:rPr>
              <w:t xml:space="preserve"> 2019</w:t>
            </w:r>
            <w:r w:rsidR="00D103B2" w:rsidRPr="00296E53">
              <w:rPr>
                <w:rFonts w:ascii="Century Gothic" w:eastAsia="Times New Roman" w:hAnsi="Century Gothic" w:cs="Calibri"/>
                <w:bCs/>
                <w:color w:val="FFFFFF" w:themeColor="background1"/>
                <w:sz w:val="17"/>
                <w:szCs w:val="17"/>
                <w:lang w:val="en-US"/>
              </w:rPr>
              <w:t>**</w:t>
            </w:r>
          </w:p>
        </w:tc>
        <w:tc>
          <w:tcPr>
            <w:tcW w:w="3696" w:type="dxa"/>
            <w:gridSpan w:val="4"/>
            <w:shd w:val="clear" w:color="auto" w:fill="0F243E"/>
            <w:vAlign w:val="center"/>
          </w:tcPr>
          <w:p w14:paraId="4055553B" w14:textId="48E951D9" w:rsidR="000D59FD" w:rsidRPr="00296E53" w:rsidRDefault="000D59FD" w:rsidP="00CA5FDA">
            <w:pPr>
              <w:spacing w:after="0" w:line="240" w:lineRule="auto"/>
              <w:jc w:val="center"/>
              <w:rPr>
                <w:rFonts w:ascii="Century Gothic" w:eastAsia="Times New Roman" w:hAnsi="Century Gothic" w:cs="Calibri"/>
                <w:bCs/>
                <w:color w:val="FFFFFF" w:themeColor="background1"/>
                <w:sz w:val="17"/>
                <w:szCs w:val="17"/>
                <w:lang w:val="en-US"/>
              </w:rPr>
            </w:pPr>
            <w:proofErr w:type="spellStart"/>
            <w:r w:rsidRPr="00296E53">
              <w:rPr>
                <w:rFonts w:ascii="Century Gothic" w:eastAsia="Times New Roman" w:hAnsi="Century Gothic" w:cs="Calibri"/>
                <w:bCs/>
                <w:color w:val="FFFFFF" w:themeColor="background1"/>
                <w:sz w:val="17"/>
                <w:szCs w:val="17"/>
                <w:lang w:val="en-US"/>
              </w:rPr>
              <w:t>Indicadores</w:t>
            </w:r>
            <w:proofErr w:type="spellEnd"/>
            <w:r w:rsidRPr="00296E53">
              <w:rPr>
                <w:rFonts w:ascii="Century Gothic" w:eastAsia="Times New Roman" w:hAnsi="Century Gothic" w:cs="Calibri"/>
                <w:bCs/>
                <w:color w:val="FFFFFF" w:themeColor="background1"/>
                <w:sz w:val="17"/>
                <w:szCs w:val="17"/>
                <w:lang w:val="en-US"/>
              </w:rPr>
              <w:t xml:space="preserve"> </w:t>
            </w:r>
            <w:proofErr w:type="spellStart"/>
            <w:r w:rsidRPr="00296E53">
              <w:rPr>
                <w:rFonts w:ascii="Century Gothic" w:eastAsia="Times New Roman" w:hAnsi="Century Gothic" w:cs="Calibri"/>
                <w:bCs/>
                <w:color w:val="FFFFFF" w:themeColor="background1"/>
                <w:sz w:val="17"/>
                <w:szCs w:val="17"/>
                <w:lang w:val="en-US"/>
              </w:rPr>
              <w:t>recibidos</w:t>
            </w:r>
            <w:proofErr w:type="spellEnd"/>
            <w:r w:rsidRPr="00296E53">
              <w:rPr>
                <w:rFonts w:ascii="Century Gothic" w:eastAsia="Times New Roman" w:hAnsi="Century Gothic" w:cs="Calibri"/>
                <w:bCs/>
                <w:color w:val="FFFFFF" w:themeColor="background1"/>
                <w:sz w:val="17"/>
                <w:szCs w:val="17"/>
                <w:lang w:val="en-US"/>
              </w:rPr>
              <w:t xml:space="preserve"> </w:t>
            </w:r>
            <w:proofErr w:type="spellStart"/>
            <w:r w:rsidRPr="00296E53">
              <w:rPr>
                <w:rFonts w:ascii="Century Gothic" w:eastAsia="Times New Roman" w:hAnsi="Century Gothic" w:cs="Calibri"/>
                <w:bCs/>
                <w:color w:val="FFFFFF" w:themeColor="background1"/>
                <w:sz w:val="17"/>
                <w:szCs w:val="17"/>
                <w:lang w:val="en-US"/>
              </w:rPr>
              <w:t>en</w:t>
            </w:r>
            <w:proofErr w:type="spellEnd"/>
            <w:r w:rsidRPr="00296E53">
              <w:rPr>
                <w:rFonts w:ascii="Century Gothic" w:eastAsia="Times New Roman" w:hAnsi="Century Gothic" w:cs="Calibri"/>
                <w:bCs/>
                <w:color w:val="FFFFFF" w:themeColor="background1"/>
                <w:sz w:val="17"/>
                <w:szCs w:val="17"/>
                <w:lang w:val="en-US"/>
              </w:rPr>
              <w:t xml:space="preserve"> 20</w:t>
            </w:r>
            <w:r w:rsidR="001A3395" w:rsidRPr="00296E53">
              <w:rPr>
                <w:rFonts w:ascii="Century Gothic" w:eastAsia="Times New Roman" w:hAnsi="Century Gothic" w:cs="Calibri"/>
                <w:bCs/>
                <w:color w:val="FFFFFF" w:themeColor="background1"/>
                <w:sz w:val="17"/>
                <w:szCs w:val="17"/>
                <w:lang w:val="en-US"/>
              </w:rPr>
              <w:t>20</w:t>
            </w:r>
            <w:r w:rsidR="00D103B2" w:rsidRPr="00296E53">
              <w:rPr>
                <w:rFonts w:ascii="Century Gothic" w:eastAsia="Times New Roman" w:hAnsi="Century Gothic" w:cs="Calibri"/>
                <w:bCs/>
                <w:color w:val="FFFFFF" w:themeColor="background1"/>
                <w:sz w:val="17"/>
                <w:szCs w:val="17"/>
                <w:lang w:val="en-US"/>
              </w:rPr>
              <w:t>***</w:t>
            </w:r>
          </w:p>
        </w:tc>
      </w:tr>
      <w:tr w:rsidR="000F2E0A" w:rsidRPr="00296E53" w14:paraId="4FB3F272" w14:textId="77777777" w:rsidTr="001A3395">
        <w:trPr>
          <w:trHeight w:val="646"/>
          <w:tblHeader/>
          <w:jc w:val="center"/>
        </w:trPr>
        <w:tc>
          <w:tcPr>
            <w:tcW w:w="841" w:type="dxa"/>
            <w:vMerge/>
            <w:shd w:val="clear" w:color="000000" w:fill="0F243E"/>
            <w:vAlign w:val="center"/>
            <w:hideMark/>
          </w:tcPr>
          <w:p w14:paraId="16364DAB" w14:textId="77777777" w:rsidR="000F2E0A" w:rsidRPr="00296E53" w:rsidRDefault="000F2E0A" w:rsidP="000F2E0A">
            <w:pPr>
              <w:spacing w:after="0" w:line="240" w:lineRule="auto"/>
              <w:jc w:val="center"/>
              <w:rPr>
                <w:rFonts w:ascii="Century Gothic" w:eastAsia="Times New Roman" w:hAnsi="Century Gothic" w:cs="Calibri"/>
                <w:b/>
                <w:bCs/>
                <w:color w:val="FFFFFF"/>
                <w:sz w:val="17"/>
                <w:szCs w:val="17"/>
                <w:lang w:val="en-US"/>
              </w:rPr>
            </w:pPr>
          </w:p>
        </w:tc>
        <w:tc>
          <w:tcPr>
            <w:tcW w:w="1276" w:type="dxa"/>
            <w:vMerge/>
            <w:shd w:val="clear" w:color="000000" w:fill="0F243E"/>
            <w:vAlign w:val="center"/>
            <w:hideMark/>
          </w:tcPr>
          <w:p w14:paraId="3C4E4F38" w14:textId="77777777" w:rsidR="000F2E0A" w:rsidRPr="00296E53" w:rsidRDefault="000F2E0A" w:rsidP="000F2E0A">
            <w:pPr>
              <w:spacing w:after="0" w:line="240" w:lineRule="auto"/>
              <w:jc w:val="center"/>
              <w:rPr>
                <w:rFonts w:ascii="Century Gothic" w:eastAsia="Times New Roman" w:hAnsi="Century Gothic" w:cs="Calibri"/>
                <w:b/>
                <w:bCs/>
                <w:color w:val="FFFFFF"/>
                <w:sz w:val="17"/>
                <w:szCs w:val="17"/>
                <w:lang w:val="en-US"/>
              </w:rPr>
            </w:pPr>
          </w:p>
        </w:tc>
        <w:tc>
          <w:tcPr>
            <w:tcW w:w="1134" w:type="dxa"/>
            <w:vMerge/>
            <w:shd w:val="clear" w:color="000000" w:fill="0F243E"/>
            <w:vAlign w:val="center"/>
            <w:hideMark/>
          </w:tcPr>
          <w:p w14:paraId="2341F6BB" w14:textId="77777777" w:rsidR="000F2E0A" w:rsidRPr="00296E53" w:rsidRDefault="000F2E0A" w:rsidP="000F2E0A">
            <w:pPr>
              <w:spacing w:after="0" w:line="240" w:lineRule="auto"/>
              <w:jc w:val="center"/>
              <w:rPr>
                <w:rFonts w:ascii="Century Gothic" w:eastAsia="Times New Roman" w:hAnsi="Century Gothic" w:cs="Calibri"/>
                <w:b/>
                <w:bCs/>
                <w:color w:val="FFFFFF"/>
                <w:sz w:val="17"/>
                <w:szCs w:val="17"/>
                <w:lang w:val="en-US"/>
              </w:rPr>
            </w:pPr>
          </w:p>
        </w:tc>
        <w:tc>
          <w:tcPr>
            <w:tcW w:w="992" w:type="dxa"/>
            <w:shd w:val="clear" w:color="000000" w:fill="0F243E"/>
            <w:vAlign w:val="center"/>
            <w:hideMark/>
          </w:tcPr>
          <w:p w14:paraId="34A3202D" w14:textId="53FE2329" w:rsidR="000F2E0A" w:rsidRPr="00296E53" w:rsidRDefault="000F2E0A" w:rsidP="000F2E0A">
            <w:pPr>
              <w:spacing w:after="0" w:line="240" w:lineRule="auto"/>
              <w:jc w:val="center"/>
              <w:rPr>
                <w:rFonts w:ascii="Century Gothic" w:eastAsia="Times New Roman" w:hAnsi="Century Gothic" w:cs="Calibri"/>
                <w:bCs/>
                <w:color w:val="FFFFFF"/>
                <w:sz w:val="17"/>
                <w:szCs w:val="17"/>
                <w:lang w:val="en-US"/>
              </w:rPr>
            </w:pPr>
            <w:proofErr w:type="spellStart"/>
            <w:r w:rsidRPr="00296E53">
              <w:rPr>
                <w:rFonts w:ascii="Century Gothic" w:eastAsia="Times New Roman" w:hAnsi="Century Gothic" w:cs="Calibri"/>
                <w:bCs/>
                <w:color w:val="FFFFFF"/>
                <w:sz w:val="17"/>
                <w:szCs w:val="17"/>
                <w:lang w:val="en-US"/>
              </w:rPr>
              <w:t>Número</w:t>
            </w:r>
            <w:proofErr w:type="spellEnd"/>
            <w:r w:rsidRPr="00296E53">
              <w:rPr>
                <w:rFonts w:ascii="Century Gothic" w:eastAsia="Times New Roman" w:hAnsi="Century Gothic" w:cs="Calibri"/>
                <w:bCs/>
                <w:color w:val="FFFFFF"/>
                <w:sz w:val="17"/>
                <w:szCs w:val="17"/>
                <w:lang w:val="en-US"/>
              </w:rPr>
              <w:t xml:space="preserve"> de Casos </w:t>
            </w:r>
            <w:proofErr w:type="spellStart"/>
            <w:r w:rsidRPr="00296E53">
              <w:rPr>
                <w:rFonts w:ascii="Century Gothic" w:eastAsia="Times New Roman" w:hAnsi="Century Gothic" w:cs="Calibri"/>
                <w:bCs/>
                <w:color w:val="FFFFFF"/>
                <w:sz w:val="17"/>
                <w:szCs w:val="17"/>
                <w:lang w:val="en-US"/>
              </w:rPr>
              <w:t>Totales</w:t>
            </w:r>
            <w:proofErr w:type="spellEnd"/>
            <w:r w:rsidR="00494D81">
              <w:rPr>
                <w:rFonts w:ascii="Century Gothic" w:eastAsia="Times New Roman" w:hAnsi="Century Gothic" w:cs="Calibri"/>
                <w:bCs/>
                <w:color w:val="FFFFFF"/>
                <w:sz w:val="17"/>
                <w:szCs w:val="17"/>
                <w:lang w:val="en-US"/>
              </w:rPr>
              <w:br/>
              <w:t>****</w:t>
            </w:r>
          </w:p>
        </w:tc>
        <w:tc>
          <w:tcPr>
            <w:tcW w:w="709" w:type="dxa"/>
            <w:shd w:val="clear" w:color="auto" w:fill="auto"/>
            <w:vAlign w:val="center"/>
            <w:hideMark/>
          </w:tcPr>
          <w:p w14:paraId="711639AF"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Alta</w:t>
            </w:r>
          </w:p>
          <w:p w14:paraId="7CAFD885"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&gt;=80</w:t>
            </w:r>
            <w:r w:rsidRPr="00296E53">
              <w:rPr>
                <w:rFonts w:ascii="Century Gothic" w:eastAsia="Times New Roman" w:hAnsi="Century Gothic" w:cs="Calibri"/>
                <w:bCs/>
                <w:color w:val="000000"/>
                <w:sz w:val="17"/>
                <w:szCs w:val="17"/>
                <w:vertAlign w:val="superscript"/>
                <w:lang w:val="en-US"/>
              </w:rPr>
              <w:t>a/</w:t>
            </w:r>
          </w:p>
        </w:tc>
        <w:tc>
          <w:tcPr>
            <w:tcW w:w="1134" w:type="dxa"/>
            <w:shd w:val="clear" w:color="auto" w:fill="FFEA00"/>
            <w:vAlign w:val="center"/>
            <w:hideMark/>
          </w:tcPr>
          <w:p w14:paraId="01126087"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proofErr w:type="spellStart"/>
            <w:r w:rsidRPr="00296E53">
              <w:rPr>
                <w:rFonts w:ascii="Century Gothic" w:eastAsia="Times New Roman" w:hAnsi="Century Gothic" w:cs="Calibri"/>
                <w:bCs/>
                <w:color w:val="000000"/>
                <w:sz w:val="17"/>
                <w:szCs w:val="17"/>
                <w:lang w:val="en-US"/>
              </w:rPr>
              <w:t>Moderada</w:t>
            </w:r>
            <w:proofErr w:type="spellEnd"/>
          </w:p>
          <w:p w14:paraId="390DD869" w14:textId="7C5EE951"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[60-</w:t>
            </w:r>
            <w:proofErr w:type="gramStart"/>
            <w:r w:rsidRPr="00296E53">
              <w:rPr>
                <w:rFonts w:ascii="Century Gothic" w:eastAsia="Times New Roman" w:hAnsi="Century Gothic" w:cs="Calibri"/>
                <w:bCs/>
                <w:color w:val="000000"/>
                <w:sz w:val="17"/>
                <w:szCs w:val="17"/>
                <w:lang w:val="en-US"/>
              </w:rPr>
              <w:t>80)</w:t>
            </w:r>
            <w:r w:rsidRPr="00296E53">
              <w:rPr>
                <w:rFonts w:ascii="Century Gothic" w:eastAsia="Times New Roman" w:hAnsi="Century Gothic" w:cs="Calibri"/>
                <w:bCs/>
                <w:color w:val="000000"/>
                <w:sz w:val="17"/>
                <w:szCs w:val="17"/>
                <w:vertAlign w:val="superscript"/>
                <w:lang w:val="en-US"/>
              </w:rPr>
              <w:t>a</w:t>
            </w:r>
            <w:proofErr w:type="gramEnd"/>
            <w:r w:rsidRPr="00296E53">
              <w:rPr>
                <w:rFonts w:ascii="Century Gothic" w:eastAsia="Times New Roman" w:hAnsi="Century Gothic" w:cs="Calibri"/>
                <w:bCs/>
                <w:color w:val="000000"/>
                <w:sz w:val="17"/>
                <w:szCs w:val="17"/>
                <w:vertAlign w:val="superscript"/>
                <w:lang w:val="en-US"/>
              </w:rPr>
              <w:t>/</w:t>
            </w:r>
          </w:p>
        </w:tc>
        <w:tc>
          <w:tcPr>
            <w:tcW w:w="708" w:type="dxa"/>
            <w:shd w:val="clear" w:color="000000" w:fill="FF5400"/>
            <w:vAlign w:val="center"/>
            <w:hideMark/>
          </w:tcPr>
          <w:p w14:paraId="633404EB"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Baja</w:t>
            </w:r>
          </w:p>
          <w:p w14:paraId="5DAD8954"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&lt;60</w:t>
            </w:r>
            <w:r w:rsidRPr="00296E53">
              <w:rPr>
                <w:rFonts w:ascii="Century Gothic" w:eastAsia="Times New Roman" w:hAnsi="Century Gothic" w:cs="Calibri"/>
                <w:bCs/>
                <w:color w:val="000000"/>
                <w:sz w:val="17"/>
                <w:szCs w:val="17"/>
                <w:vertAlign w:val="superscript"/>
                <w:lang w:val="en-US"/>
              </w:rPr>
              <w:t>a/</w:t>
            </w:r>
          </w:p>
        </w:tc>
        <w:tc>
          <w:tcPr>
            <w:tcW w:w="993" w:type="dxa"/>
            <w:shd w:val="clear" w:color="auto" w:fill="0F243E"/>
            <w:vAlign w:val="center"/>
          </w:tcPr>
          <w:p w14:paraId="657A532D"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proofErr w:type="spellStart"/>
            <w:r w:rsidRPr="00296E53">
              <w:rPr>
                <w:rFonts w:ascii="Century Gothic" w:eastAsia="Times New Roman" w:hAnsi="Century Gothic" w:cs="Calibri"/>
                <w:bCs/>
                <w:color w:val="FFFFFF"/>
                <w:sz w:val="17"/>
                <w:szCs w:val="17"/>
                <w:lang w:val="en-US"/>
              </w:rPr>
              <w:t>Número</w:t>
            </w:r>
            <w:proofErr w:type="spellEnd"/>
            <w:r w:rsidRPr="00296E53">
              <w:rPr>
                <w:rFonts w:ascii="Century Gothic" w:eastAsia="Times New Roman" w:hAnsi="Century Gothic" w:cs="Calibri"/>
                <w:bCs/>
                <w:color w:val="FFFFFF"/>
                <w:sz w:val="17"/>
                <w:szCs w:val="17"/>
                <w:lang w:val="en-US"/>
              </w:rPr>
              <w:t xml:space="preserve"> de Casos </w:t>
            </w:r>
            <w:proofErr w:type="spellStart"/>
            <w:r w:rsidRPr="00296E53">
              <w:rPr>
                <w:rFonts w:ascii="Century Gothic" w:eastAsia="Times New Roman" w:hAnsi="Century Gothic" w:cs="Calibri"/>
                <w:bCs/>
                <w:color w:val="FFFFFF"/>
                <w:sz w:val="17"/>
                <w:szCs w:val="17"/>
                <w:lang w:val="en-US"/>
              </w:rPr>
              <w:t>Totales</w:t>
            </w:r>
            <w:proofErr w:type="spellEnd"/>
          </w:p>
        </w:tc>
        <w:tc>
          <w:tcPr>
            <w:tcW w:w="850" w:type="dxa"/>
            <w:shd w:val="clear" w:color="auto" w:fill="FFFFFF" w:themeFill="background1"/>
            <w:vAlign w:val="center"/>
          </w:tcPr>
          <w:p w14:paraId="20D5C243"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Alta</w:t>
            </w:r>
          </w:p>
          <w:p w14:paraId="438A40CF"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&gt;=80</w:t>
            </w:r>
            <w:r w:rsidRPr="00296E53">
              <w:rPr>
                <w:rFonts w:ascii="Century Gothic" w:eastAsia="Times New Roman" w:hAnsi="Century Gothic" w:cs="Calibri"/>
                <w:bCs/>
                <w:color w:val="000000"/>
                <w:sz w:val="17"/>
                <w:szCs w:val="17"/>
                <w:vertAlign w:val="superscript"/>
                <w:lang w:val="en-US"/>
              </w:rPr>
              <w:t>a/</w:t>
            </w:r>
          </w:p>
        </w:tc>
        <w:tc>
          <w:tcPr>
            <w:tcW w:w="1134" w:type="dxa"/>
            <w:shd w:val="clear" w:color="auto" w:fill="FFEA00"/>
            <w:vAlign w:val="center"/>
          </w:tcPr>
          <w:p w14:paraId="29E50F15"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proofErr w:type="spellStart"/>
            <w:r w:rsidRPr="00296E53">
              <w:rPr>
                <w:rFonts w:ascii="Century Gothic" w:eastAsia="Times New Roman" w:hAnsi="Century Gothic" w:cs="Calibri"/>
                <w:bCs/>
                <w:color w:val="000000"/>
                <w:sz w:val="17"/>
                <w:szCs w:val="17"/>
                <w:lang w:val="en-US"/>
              </w:rPr>
              <w:t>Moderada</w:t>
            </w:r>
            <w:proofErr w:type="spellEnd"/>
          </w:p>
          <w:p w14:paraId="53804FDA" w14:textId="3AC6BF7B"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[60-</w:t>
            </w:r>
            <w:proofErr w:type="gramStart"/>
            <w:r w:rsidRPr="00296E53">
              <w:rPr>
                <w:rFonts w:ascii="Century Gothic" w:eastAsia="Times New Roman" w:hAnsi="Century Gothic" w:cs="Calibri"/>
                <w:bCs/>
                <w:color w:val="000000"/>
                <w:sz w:val="17"/>
                <w:szCs w:val="17"/>
                <w:lang w:val="en-US"/>
              </w:rPr>
              <w:t>80)</w:t>
            </w:r>
            <w:r w:rsidRPr="00296E53">
              <w:rPr>
                <w:rFonts w:ascii="Century Gothic" w:eastAsia="Times New Roman" w:hAnsi="Century Gothic" w:cs="Calibri"/>
                <w:bCs/>
                <w:color w:val="000000"/>
                <w:sz w:val="17"/>
                <w:szCs w:val="17"/>
                <w:vertAlign w:val="superscript"/>
                <w:lang w:val="en-US"/>
              </w:rPr>
              <w:t>a</w:t>
            </w:r>
            <w:proofErr w:type="gramEnd"/>
            <w:r w:rsidRPr="00296E53">
              <w:rPr>
                <w:rFonts w:ascii="Century Gothic" w:eastAsia="Times New Roman" w:hAnsi="Century Gothic" w:cs="Calibri"/>
                <w:bCs/>
                <w:color w:val="000000"/>
                <w:sz w:val="17"/>
                <w:szCs w:val="17"/>
                <w:vertAlign w:val="superscript"/>
                <w:lang w:val="en-US"/>
              </w:rPr>
              <w:t>/</w:t>
            </w:r>
          </w:p>
        </w:tc>
        <w:tc>
          <w:tcPr>
            <w:tcW w:w="709" w:type="dxa"/>
            <w:shd w:val="clear" w:color="000000" w:fill="FF5400"/>
            <w:vAlign w:val="center"/>
          </w:tcPr>
          <w:p w14:paraId="7C843303"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Baja</w:t>
            </w:r>
          </w:p>
          <w:p w14:paraId="76A5EB9A"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&lt;60</w:t>
            </w:r>
            <w:r w:rsidRPr="00296E53">
              <w:rPr>
                <w:rFonts w:ascii="Century Gothic" w:eastAsia="Times New Roman" w:hAnsi="Century Gothic" w:cs="Calibri"/>
                <w:bCs/>
                <w:color w:val="000000"/>
                <w:sz w:val="17"/>
                <w:szCs w:val="17"/>
                <w:vertAlign w:val="superscript"/>
                <w:lang w:val="en-US"/>
              </w:rPr>
              <w:t>a/</w:t>
            </w:r>
          </w:p>
        </w:tc>
        <w:tc>
          <w:tcPr>
            <w:tcW w:w="992" w:type="dxa"/>
            <w:shd w:val="clear" w:color="auto" w:fill="0F243E"/>
            <w:vAlign w:val="center"/>
          </w:tcPr>
          <w:p w14:paraId="564C7A57"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proofErr w:type="spellStart"/>
            <w:r w:rsidRPr="00296E53">
              <w:rPr>
                <w:rFonts w:ascii="Century Gothic" w:eastAsia="Times New Roman" w:hAnsi="Century Gothic" w:cs="Calibri"/>
                <w:bCs/>
                <w:color w:val="FFFFFF"/>
                <w:sz w:val="17"/>
                <w:szCs w:val="17"/>
                <w:lang w:val="en-US"/>
              </w:rPr>
              <w:t>Número</w:t>
            </w:r>
            <w:proofErr w:type="spellEnd"/>
            <w:r w:rsidRPr="00296E53">
              <w:rPr>
                <w:rFonts w:ascii="Century Gothic" w:eastAsia="Times New Roman" w:hAnsi="Century Gothic" w:cs="Calibri"/>
                <w:bCs/>
                <w:color w:val="FFFFFF"/>
                <w:sz w:val="17"/>
                <w:szCs w:val="17"/>
                <w:lang w:val="en-US"/>
              </w:rPr>
              <w:t xml:space="preserve"> de Casos </w:t>
            </w:r>
            <w:proofErr w:type="spellStart"/>
            <w:r w:rsidRPr="00296E53">
              <w:rPr>
                <w:rFonts w:ascii="Century Gothic" w:eastAsia="Times New Roman" w:hAnsi="Century Gothic" w:cs="Calibri"/>
                <w:bCs/>
                <w:color w:val="FFFFFF"/>
                <w:sz w:val="17"/>
                <w:szCs w:val="17"/>
                <w:lang w:val="en-US"/>
              </w:rPr>
              <w:t>Totales</w:t>
            </w:r>
            <w:proofErr w:type="spellEnd"/>
          </w:p>
        </w:tc>
        <w:tc>
          <w:tcPr>
            <w:tcW w:w="862" w:type="dxa"/>
            <w:shd w:val="clear" w:color="auto" w:fill="FFFFFF" w:themeFill="background1"/>
            <w:vAlign w:val="center"/>
          </w:tcPr>
          <w:p w14:paraId="4EFE3E23"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Alta</w:t>
            </w:r>
          </w:p>
          <w:p w14:paraId="0AA29916"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&gt;=80</w:t>
            </w:r>
            <w:r w:rsidRPr="00296E53">
              <w:rPr>
                <w:rFonts w:ascii="Century Gothic" w:eastAsia="Times New Roman" w:hAnsi="Century Gothic" w:cs="Calibri"/>
                <w:bCs/>
                <w:color w:val="000000"/>
                <w:sz w:val="17"/>
                <w:szCs w:val="17"/>
                <w:vertAlign w:val="superscript"/>
                <w:lang w:val="en-US"/>
              </w:rPr>
              <w:t>a/</w:t>
            </w:r>
          </w:p>
        </w:tc>
        <w:tc>
          <w:tcPr>
            <w:tcW w:w="1123" w:type="dxa"/>
            <w:shd w:val="clear" w:color="auto" w:fill="FFEA00"/>
            <w:vAlign w:val="center"/>
          </w:tcPr>
          <w:p w14:paraId="1AD7A8B3"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proofErr w:type="spellStart"/>
            <w:r w:rsidRPr="00296E53">
              <w:rPr>
                <w:rFonts w:ascii="Century Gothic" w:eastAsia="Times New Roman" w:hAnsi="Century Gothic" w:cs="Calibri"/>
                <w:bCs/>
                <w:color w:val="000000"/>
                <w:sz w:val="17"/>
                <w:szCs w:val="17"/>
                <w:lang w:val="en-US"/>
              </w:rPr>
              <w:t>Moderada</w:t>
            </w:r>
            <w:proofErr w:type="spellEnd"/>
          </w:p>
          <w:p w14:paraId="5E6FAE59" w14:textId="7CDB1E3C"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[60-</w:t>
            </w:r>
            <w:proofErr w:type="gramStart"/>
            <w:r w:rsidRPr="00296E53">
              <w:rPr>
                <w:rFonts w:ascii="Century Gothic" w:eastAsia="Times New Roman" w:hAnsi="Century Gothic" w:cs="Calibri"/>
                <w:bCs/>
                <w:color w:val="000000"/>
                <w:sz w:val="17"/>
                <w:szCs w:val="17"/>
                <w:lang w:val="en-US"/>
              </w:rPr>
              <w:t>80)</w:t>
            </w:r>
            <w:r w:rsidRPr="00296E53">
              <w:rPr>
                <w:rFonts w:ascii="Century Gothic" w:eastAsia="Times New Roman" w:hAnsi="Century Gothic" w:cs="Calibri"/>
                <w:bCs/>
                <w:color w:val="000000"/>
                <w:sz w:val="17"/>
                <w:szCs w:val="17"/>
                <w:vertAlign w:val="superscript"/>
                <w:lang w:val="en-US"/>
              </w:rPr>
              <w:t>a</w:t>
            </w:r>
            <w:proofErr w:type="gramEnd"/>
            <w:r w:rsidRPr="00296E53">
              <w:rPr>
                <w:rFonts w:ascii="Century Gothic" w:eastAsia="Times New Roman" w:hAnsi="Century Gothic" w:cs="Calibri"/>
                <w:bCs/>
                <w:color w:val="000000"/>
                <w:sz w:val="17"/>
                <w:szCs w:val="17"/>
                <w:vertAlign w:val="superscript"/>
                <w:lang w:val="en-US"/>
              </w:rPr>
              <w:t>/</w:t>
            </w:r>
          </w:p>
        </w:tc>
        <w:tc>
          <w:tcPr>
            <w:tcW w:w="719" w:type="dxa"/>
            <w:shd w:val="clear" w:color="000000" w:fill="FF5400"/>
            <w:vAlign w:val="center"/>
          </w:tcPr>
          <w:p w14:paraId="7D806591"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Baja</w:t>
            </w:r>
          </w:p>
          <w:p w14:paraId="41C578B1"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&lt;60</w:t>
            </w:r>
            <w:r w:rsidRPr="00296E53">
              <w:rPr>
                <w:rFonts w:ascii="Century Gothic" w:eastAsia="Times New Roman" w:hAnsi="Century Gothic" w:cs="Calibri"/>
                <w:bCs/>
                <w:color w:val="000000"/>
                <w:sz w:val="17"/>
                <w:szCs w:val="17"/>
                <w:vertAlign w:val="superscript"/>
                <w:lang w:val="en-US"/>
              </w:rPr>
              <w:t>a/</w:t>
            </w:r>
          </w:p>
        </w:tc>
      </w:tr>
      <w:tr w:rsidR="001A3395" w:rsidRPr="00296E53" w14:paraId="7302BBA6" w14:textId="77777777" w:rsidTr="001A3395">
        <w:trPr>
          <w:trHeight w:val="300"/>
          <w:jc w:val="center"/>
        </w:trPr>
        <w:tc>
          <w:tcPr>
            <w:tcW w:w="841" w:type="dxa"/>
            <w:shd w:val="clear" w:color="auto" w:fill="D0CECE" w:themeFill="background2" w:themeFillShade="E6"/>
            <w:noWrap/>
            <w:vAlign w:val="center"/>
            <w:hideMark/>
          </w:tcPr>
          <w:p w14:paraId="4568D89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D0CECE" w:themeFill="background2" w:themeFillShade="E6"/>
            <w:noWrap/>
            <w:vAlign w:val="center"/>
            <w:hideMark/>
          </w:tcPr>
          <w:p w14:paraId="6249857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134" w:type="dxa"/>
            <w:shd w:val="clear" w:color="auto" w:fill="D0CECE" w:themeFill="background2" w:themeFillShade="E6"/>
            <w:noWrap/>
            <w:vAlign w:val="center"/>
            <w:hideMark/>
          </w:tcPr>
          <w:p w14:paraId="399164E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EAC</w:t>
            </w:r>
          </w:p>
        </w:tc>
        <w:tc>
          <w:tcPr>
            <w:tcW w:w="992" w:type="dxa"/>
            <w:shd w:val="clear" w:color="auto" w:fill="D0CECE" w:themeFill="background2" w:themeFillShade="E6"/>
            <w:noWrap/>
            <w:vAlign w:val="center"/>
            <w:hideMark/>
          </w:tcPr>
          <w:p w14:paraId="19D8700C"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20</w:t>
            </w:r>
          </w:p>
        </w:tc>
        <w:tc>
          <w:tcPr>
            <w:tcW w:w="709" w:type="dxa"/>
            <w:shd w:val="clear" w:color="auto" w:fill="D0CECE" w:themeFill="background2" w:themeFillShade="E6"/>
            <w:noWrap/>
            <w:vAlign w:val="center"/>
            <w:hideMark/>
          </w:tcPr>
          <w:p w14:paraId="1F4F4172"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20%</w:t>
            </w:r>
          </w:p>
        </w:tc>
        <w:tc>
          <w:tcPr>
            <w:tcW w:w="1134" w:type="dxa"/>
            <w:shd w:val="clear" w:color="auto" w:fill="D0CECE" w:themeFill="background2" w:themeFillShade="E6"/>
            <w:noWrap/>
            <w:vAlign w:val="center"/>
            <w:hideMark/>
          </w:tcPr>
          <w:p w14:paraId="3E8E7806"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45%</w:t>
            </w:r>
          </w:p>
        </w:tc>
        <w:tc>
          <w:tcPr>
            <w:tcW w:w="708" w:type="dxa"/>
            <w:shd w:val="clear" w:color="auto" w:fill="D0CECE" w:themeFill="background2" w:themeFillShade="E6"/>
            <w:noWrap/>
            <w:vAlign w:val="center"/>
            <w:hideMark/>
          </w:tcPr>
          <w:p w14:paraId="7A9F4E3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35%</w:t>
            </w:r>
          </w:p>
        </w:tc>
        <w:tc>
          <w:tcPr>
            <w:tcW w:w="993" w:type="dxa"/>
            <w:shd w:val="clear" w:color="auto" w:fill="D0CECE" w:themeFill="background2" w:themeFillShade="E6"/>
            <w:vAlign w:val="center"/>
          </w:tcPr>
          <w:p w14:paraId="4C87FA6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18</w:t>
            </w:r>
          </w:p>
        </w:tc>
        <w:tc>
          <w:tcPr>
            <w:tcW w:w="850" w:type="dxa"/>
            <w:shd w:val="clear" w:color="auto" w:fill="D0CECE" w:themeFill="background2" w:themeFillShade="E6"/>
            <w:vAlign w:val="center"/>
          </w:tcPr>
          <w:p w14:paraId="179F2A3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39%</w:t>
            </w:r>
          </w:p>
        </w:tc>
        <w:tc>
          <w:tcPr>
            <w:tcW w:w="1134" w:type="dxa"/>
            <w:shd w:val="clear" w:color="auto" w:fill="D0CECE" w:themeFill="background2" w:themeFillShade="E6"/>
            <w:vAlign w:val="center"/>
          </w:tcPr>
          <w:p w14:paraId="5022B101"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61%</w:t>
            </w:r>
          </w:p>
        </w:tc>
        <w:tc>
          <w:tcPr>
            <w:tcW w:w="709" w:type="dxa"/>
            <w:shd w:val="clear" w:color="auto" w:fill="D0CECE" w:themeFill="background2" w:themeFillShade="E6"/>
            <w:vAlign w:val="center"/>
          </w:tcPr>
          <w:p w14:paraId="5DED625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shd w:val="clear" w:color="auto" w:fill="D0CECE" w:themeFill="background2" w:themeFillShade="E6"/>
            <w:vAlign w:val="center"/>
          </w:tcPr>
          <w:p w14:paraId="76E23117"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18</w:t>
            </w:r>
          </w:p>
        </w:tc>
        <w:tc>
          <w:tcPr>
            <w:tcW w:w="862" w:type="dxa"/>
            <w:shd w:val="clear" w:color="auto" w:fill="D0CECE" w:themeFill="background2" w:themeFillShade="E6"/>
            <w:vAlign w:val="center"/>
          </w:tcPr>
          <w:p w14:paraId="5E8233D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39%</w:t>
            </w:r>
          </w:p>
        </w:tc>
        <w:tc>
          <w:tcPr>
            <w:tcW w:w="1123" w:type="dxa"/>
            <w:shd w:val="clear" w:color="auto" w:fill="D0CECE" w:themeFill="background2" w:themeFillShade="E6"/>
            <w:vAlign w:val="center"/>
          </w:tcPr>
          <w:p w14:paraId="440CB6DF"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61%</w:t>
            </w:r>
          </w:p>
        </w:tc>
        <w:tc>
          <w:tcPr>
            <w:tcW w:w="719" w:type="dxa"/>
            <w:shd w:val="clear" w:color="auto" w:fill="D0CECE" w:themeFill="background2" w:themeFillShade="E6"/>
            <w:vAlign w:val="center"/>
          </w:tcPr>
          <w:p w14:paraId="36D0601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1A3395" w:rsidRPr="00296E53" w14:paraId="2E1CD974" w14:textId="77777777" w:rsidTr="001A3395">
        <w:trPr>
          <w:trHeight w:val="300"/>
          <w:jc w:val="center"/>
        </w:trPr>
        <w:tc>
          <w:tcPr>
            <w:tcW w:w="841" w:type="dxa"/>
            <w:shd w:val="clear" w:color="auto" w:fill="auto"/>
            <w:noWrap/>
            <w:vAlign w:val="center"/>
            <w:hideMark/>
          </w:tcPr>
          <w:p w14:paraId="4AE5CE1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auto"/>
            <w:noWrap/>
            <w:vAlign w:val="center"/>
            <w:hideMark/>
          </w:tcPr>
          <w:p w14:paraId="6D1FE25A"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134" w:type="dxa"/>
            <w:shd w:val="clear" w:color="auto" w:fill="auto"/>
            <w:noWrap/>
            <w:vAlign w:val="center"/>
            <w:hideMark/>
          </w:tcPr>
          <w:p w14:paraId="7B3B980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EAIM</w:t>
            </w:r>
          </w:p>
        </w:tc>
        <w:tc>
          <w:tcPr>
            <w:tcW w:w="992" w:type="dxa"/>
            <w:shd w:val="clear" w:color="auto" w:fill="auto"/>
            <w:noWrap/>
            <w:vAlign w:val="center"/>
            <w:hideMark/>
          </w:tcPr>
          <w:p w14:paraId="3843E570"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236</w:t>
            </w:r>
          </w:p>
        </w:tc>
        <w:tc>
          <w:tcPr>
            <w:tcW w:w="709" w:type="dxa"/>
            <w:shd w:val="clear" w:color="auto" w:fill="auto"/>
            <w:noWrap/>
            <w:vAlign w:val="center"/>
            <w:hideMark/>
          </w:tcPr>
          <w:p w14:paraId="1FC5C9A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61%</w:t>
            </w:r>
          </w:p>
        </w:tc>
        <w:tc>
          <w:tcPr>
            <w:tcW w:w="1134" w:type="dxa"/>
            <w:shd w:val="clear" w:color="auto" w:fill="auto"/>
            <w:noWrap/>
            <w:vAlign w:val="center"/>
            <w:hideMark/>
          </w:tcPr>
          <w:p w14:paraId="01D544CA"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27%</w:t>
            </w:r>
          </w:p>
        </w:tc>
        <w:tc>
          <w:tcPr>
            <w:tcW w:w="708" w:type="dxa"/>
            <w:shd w:val="clear" w:color="auto" w:fill="auto"/>
            <w:noWrap/>
            <w:vAlign w:val="center"/>
            <w:hideMark/>
          </w:tcPr>
          <w:p w14:paraId="6DBCB34D"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12%</w:t>
            </w:r>
          </w:p>
        </w:tc>
        <w:tc>
          <w:tcPr>
            <w:tcW w:w="993" w:type="dxa"/>
            <w:vAlign w:val="center"/>
          </w:tcPr>
          <w:p w14:paraId="7B377A79"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219</w:t>
            </w:r>
          </w:p>
        </w:tc>
        <w:tc>
          <w:tcPr>
            <w:tcW w:w="850" w:type="dxa"/>
            <w:vAlign w:val="center"/>
          </w:tcPr>
          <w:p w14:paraId="1A625B49"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78%</w:t>
            </w:r>
          </w:p>
        </w:tc>
        <w:tc>
          <w:tcPr>
            <w:tcW w:w="1134" w:type="dxa"/>
            <w:vAlign w:val="center"/>
          </w:tcPr>
          <w:p w14:paraId="4A54C59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22%</w:t>
            </w:r>
          </w:p>
        </w:tc>
        <w:tc>
          <w:tcPr>
            <w:tcW w:w="709" w:type="dxa"/>
            <w:vAlign w:val="center"/>
          </w:tcPr>
          <w:p w14:paraId="312C923D"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vAlign w:val="center"/>
          </w:tcPr>
          <w:p w14:paraId="15F2EEFA"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219</w:t>
            </w:r>
          </w:p>
        </w:tc>
        <w:tc>
          <w:tcPr>
            <w:tcW w:w="862" w:type="dxa"/>
            <w:vAlign w:val="center"/>
          </w:tcPr>
          <w:p w14:paraId="23C6A4D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78%</w:t>
            </w:r>
          </w:p>
        </w:tc>
        <w:tc>
          <w:tcPr>
            <w:tcW w:w="1123" w:type="dxa"/>
            <w:vAlign w:val="center"/>
          </w:tcPr>
          <w:p w14:paraId="16AFAD6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22%</w:t>
            </w:r>
          </w:p>
        </w:tc>
        <w:tc>
          <w:tcPr>
            <w:tcW w:w="719" w:type="dxa"/>
            <w:vAlign w:val="center"/>
          </w:tcPr>
          <w:p w14:paraId="6C9BBFE0"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1A3395" w:rsidRPr="00296E53" w14:paraId="03AF2C0D" w14:textId="77777777" w:rsidTr="001A3395">
        <w:trPr>
          <w:trHeight w:val="300"/>
          <w:jc w:val="center"/>
        </w:trPr>
        <w:tc>
          <w:tcPr>
            <w:tcW w:w="841" w:type="dxa"/>
            <w:shd w:val="clear" w:color="auto" w:fill="D0CECE" w:themeFill="background2" w:themeFillShade="E6"/>
            <w:noWrap/>
            <w:vAlign w:val="center"/>
            <w:hideMark/>
          </w:tcPr>
          <w:p w14:paraId="23CF125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D0CECE" w:themeFill="background2" w:themeFillShade="E6"/>
            <w:noWrap/>
            <w:vAlign w:val="center"/>
            <w:hideMark/>
          </w:tcPr>
          <w:p w14:paraId="59FEFC87"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134" w:type="dxa"/>
            <w:shd w:val="clear" w:color="auto" w:fill="D0CECE" w:themeFill="background2" w:themeFillShade="E6"/>
            <w:noWrap/>
            <w:vAlign w:val="center"/>
            <w:hideMark/>
          </w:tcPr>
          <w:p w14:paraId="262AA2FB"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EASPNF</w:t>
            </w:r>
          </w:p>
        </w:tc>
        <w:tc>
          <w:tcPr>
            <w:tcW w:w="992" w:type="dxa"/>
            <w:shd w:val="clear" w:color="auto" w:fill="D0CECE" w:themeFill="background2" w:themeFillShade="E6"/>
            <w:noWrap/>
            <w:vAlign w:val="center"/>
            <w:hideMark/>
          </w:tcPr>
          <w:p w14:paraId="4CBB4C27"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48</w:t>
            </w:r>
          </w:p>
        </w:tc>
        <w:tc>
          <w:tcPr>
            <w:tcW w:w="709" w:type="dxa"/>
            <w:shd w:val="clear" w:color="auto" w:fill="D0CECE" w:themeFill="background2" w:themeFillShade="E6"/>
            <w:noWrap/>
            <w:vAlign w:val="center"/>
            <w:hideMark/>
          </w:tcPr>
          <w:p w14:paraId="48654D42"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56%</w:t>
            </w:r>
          </w:p>
        </w:tc>
        <w:tc>
          <w:tcPr>
            <w:tcW w:w="1134" w:type="dxa"/>
            <w:shd w:val="clear" w:color="auto" w:fill="D0CECE" w:themeFill="background2" w:themeFillShade="E6"/>
            <w:noWrap/>
            <w:vAlign w:val="center"/>
            <w:hideMark/>
          </w:tcPr>
          <w:p w14:paraId="7151B5B0"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31%</w:t>
            </w:r>
          </w:p>
        </w:tc>
        <w:tc>
          <w:tcPr>
            <w:tcW w:w="708" w:type="dxa"/>
            <w:shd w:val="clear" w:color="auto" w:fill="D0CECE" w:themeFill="background2" w:themeFillShade="E6"/>
            <w:noWrap/>
            <w:vAlign w:val="center"/>
            <w:hideMark/>
          </w:tcPr>
          <w:p w14:paraId="66B42389"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13%</w:t>
            </w:r>
          </w:p>
        </w:tc>
        <w:tc>
          <w:tcPr>
            <w:tcW w:w="993" w:type="dxa"/>
            <w:shd w:val="clear" w:color="auto" w:fill="D0CECE" w:themeFill="background2" w:themeFillShade="E6"/>
            <w:vAlign w:val="center"/>
          </w:tcPr>
          <w:p w14:paraId="27C42FB0"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49</w:t>
            </w:r>
          </w:p>
        </w:tc>
        <w:tc>
          <w:tcPr>
            <w:tcW w:w="850" w:type="dxa"/>
            <w:shd w:val="clear" w:color="auto" w:fill="D0CECE" w:themeFill="background2" w:themeFillShade="E6"/>
            <w:vAlign w:val="center"/>
          </w:tcPr>
          <w:p w14:paraId="2C66428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bCs/>
                <w:color w:val="000000"/>
                <w:sz w:val="17"/>
                <w:szCs w:val="17"/>
                <w:lang w:val="en-US"/>
              </w:rPr>
              <w:t>67%</w:t>
            </w:r>
          </w:p>
        </w:tc>
        <w:tc>
          <w:tcPr>
            <w:tcW w:w="1134" w:type="dxa"/>
            <w:shd w:val="clear" w:color="auto" w:fill="D0CECE" w:themeFill="background2" w:themeFillShade="E6"/>
            <w:vAlign w:val="center"/>
          </w:tcPr>
          <w:p w14:paraId="6A1271A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bCs/>
                <w:color w:val="000000"/>
                <w:sz w:val="17"/>
                <w:szCs w:val="17"/>
                <w:lang w:val="en-US"/>
              </w:rPr>
              <w:t>33%</w:t>
            </w:r>
          </w:p>
        </w:tc>
        <w:tc>
          <w:tcPr>
            <w:tcW w:w="709" w:type="dxa"/>
            <w:shd w:val="clear" w:color="auto" w:fill="D0CECE" w:themeFill="background2" w:themeFillShade="E6"/>
            <w:vAlign w:val="center"/>
          </w:tcPr>
          <w:p w14:paraId="60A01519"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bCs/>
                <w:color w:val="000000"/>
                <w:sz w:val="17"/>
                <w:szCs w:val="17"/>
                <w:lang w:val="en-US"/>
              </w:rPr>
              <w:t>0%</w:t>
            </w:r>
          </w:p>
        </w:tc>
        <w:tc>
          <w:tcPr>
            <w:tcW w:w="992" w:type="dxa"/>
            <w:shd w:val="clear" w:color="auto" w:fill="D0CECE" w:themeFill="background2" w:themeFillShade="E6"/>
            <w:vAlign w:val="center"/>
          </w:tcPr>
          <w:p w14:paraId="785647B4" w14:textId="77777777" w:rsidR="00D7514B" w:rsidRPr="00296E53" w:rsidRDefault="00D7514B" w:rsidP="00D7514B">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color w:val="000000"/>
                <w:sz w:val="17"/>
                <w:szCs w:val="17"/>
                <w:lang w:val="en-US"/>
              </w:rPr>
              <w:t>49</w:t>
            </w:r>
          </w:p>
        </w:tc>
        <w:tc>
          <w:tcPr>
            <w:tcW w:w="862" w:type="dxa"/>
            <w:shd w:val="clear" w:color="auto" w:fill="D0CECE" w:themeFill="background2" w:themeFillShade="E6"/>
            <w:vAlign w:val="center"/>
          </w:tcPr>
          <w:p w14:paraId="2109CC9D" w14:textId="77777777" w:rsidR="00D7514B" w:rsidRPr="00296E53" w:rsidRDefault="00D7514B" w:rsidP="00D7514B">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67%</w:t>
            </w:r>
          </w:p>
        </w:tc>
        <w:tc>
          <w:tcPr>
            <w:tcW w:w="1123" w:type="dxa"/>
            <w:shd w:val="clear" w:color="auto" w:fill="D0CECE" w:themeFill="background2" w:themeFillShade="E6"/>
            <w:vAlign w:val="center"/>
          </w:tcPr>
          <w:p w14:paraId="0FFB5F35" w14:textId="77777777" w:rsidR="00D7514B" w:rsidRPr="00296E53" w:rsidRDefault="00D7514B" w:rsidP="00D7514B">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33%</w:t>
            </w:r>
          </w:p>
        </w:tc>
        <w:tc>
          <w:tcPr>
            <w:tcW w:w="719" w:type="dxa"/>
            <w:shd w:val="clear" w:color="auto" w:fill="D0CECE" w:themeFill="background2" w:themeFillShade="E6"/>
            <w:vAlign w:val="center"/>
          </w:tcPr>
          <w:p w14:paraId="39802243" w14:textId="77777777" w:rsidR="00D7514B" w:rsidRPr="00296E53" w:rsidRDefault="00D7514B" w:rsidP="00D7514B">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0%</w:t>
            </w:r>
          </w:p>
        </w:tc>
      </w:tr>
      <w:tr w:rsidR="001A3395" w:rsidRPr="00296E53" w14:paraId="70732D17" w14:textId="77777777" w:rsidTr="001A3395">
        <w:trPr>
          <w:trHeight w:val="300"/>
          <w:jc w:val="center"/>
        </w:trPr>
        <w:tc>
          <w:tcPr>
            <w:tcW w:w="841" w:type="dxa"/>
            <w:shd w:val="clear" w:color="auto" w:fill="auto"/>
            <w:noWrap/>
            <w:vAlign w:val="center"/>
            <w:hideMark/>
          </w:tcPr>
          <w:p w14:paraId="72399BAD"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auto"/>
            <w:noWrap/>
            <w:vAlign w:val="center"/>
            <w:hideMark/>
          </w:tcPr>
          <w:p w14:paraId="27163B7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134" w:type="dxa"/>
            <w:shd w:val="clear" w:color="auto" w:fill="auto"/>
            <w:noWrap/>
            <w:vAlign w:val="center"/>
            <w:hideMark/>
          </w:tcPr>
          <w:p w14:paraId="1AF39182"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EAT</w:t>
            </w:r>
          </w:p>
        </w:tc>
        <w:tc>
          <w:tcPr>
            <w:tcW w:w="992" w:type="dxa"/>
            <w:shd w:val="clear" w:color="auto" w:fill="auto"/>
            <w:noWrap/>
            <w:vAlign w:val="center"/>
            <w:hideMark/>
          </w:tcPr>
          <w:p w14:paraId="0D21DCD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p>
        </w:tc>
        <w:tc>
          <w:tcPr>
            <w:tcW w:w="709" w:type="dxa"/>
            <w:shd w:val="clear" w:color="auto" w:fill="auto"/>
            <w:noWrap/>
            <w:vAlign w:val="center"/>
            <w:hideMark/>
          </w:tcPr>
          <w:p w14:paraId="6721781F"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57%</w:t>
            </w:r>
          </w:p>
        </w:tc>
        <w:tc>
          <w:tcPr>
            <w:tcW w:w="1134" w:type="dxa"/>
            <w:shd w:val="clear" w:color="auto" w:fill="auto"/>
            <w:noWrap/>
            <w:vAlign w:val="center"/>
            <w:hideMark/>
          </w:tcPr>
          <w:p w14:paraId="0A0A2591"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29%</w:t>
            </w:r>
          </w:p>
        </w:tc>
        <w:tc>
          <w:tcPr>
            <w:tcW w:w="708" w:type="dxa"/>
            <w:shd w:val="clear" w:color="auto" w:fill="auto"/>
            <w:noWrap/>
            <w:vAlign w:val="center"/>
            <w:hideMark/>
          </w:tcPr>
          <w:p w14:paraId="424FD928"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14%</w:t>
            </w:r>
          </w:p>
        </w:tc>
        <w:tc>
          <w:tcPr>
            <w:tcW w:w="993" w:type="dxa"/>
            <w:vAlign w:val="center"/>
          </w:tcPr>
          <w:p w14:paraId="0C4AB730"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11</w:t>
            </w:r>
          </w:p>
        </w:tc>
        <w:tc>
          <w:tcPr>
            <w:tcW w:w="850" w:type="dxa"/>
            <w:vAlign w:val="center"/>
          </w:tcPr>
          <w:p w14:paraId="2962763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vAlign w:val="center"/>
          </w:tcPr>
          <w:p w14:paraId="415EFF2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vAlign w:val="center"/>
          </w:tcPr>
          <w:p w14:paraId="746EE10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vAlign w:val="center"/>
          </w:tcPr>
          <w:p w14:paraId="5CBB4798"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11</w:t>
            </w:r>
          </w:p>
        </w:tc>
        <w:tc>
          <w:tcPr>
            <w:tcW w:w="862" w:type="dxa"/>
            <w:vAlign w:val="center"/>
          </w:tcPr>
          <w:p w14:paraId="17B676DA"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23" w:type="dxa"/>
            <w:vAlign w:val="center"/>
          </w:tcPr>
          <w:p w14:paraId="4DFA3A7F"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19" w:type="dxa"/>
            <w:vAlign w:val="center"/>
          </w:tcPr>
          <w:p w14:paraId="13A307E9"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1A3395" w:rsidRPr="00296E53" w14:paraId="09A3A110" w14:textId="77777777" w:rsidTr="001A3395">
        <w:trPr>
          <w:trHeight w:val="300"/>
          <w:jc w:val="center"/>
        </w:trPr>
        <w:tc>
          <w:tcPr>
            <w:tcW w:w="841" w:type="dxa"/>
            <w:shd w:val="clear" w:color="auto" w:fill="D0CECE" w:themeFill="background2" w:themeFillShade="E6"/>
            <w:noWrap/>
            <w:vAlign w:val="center"/>
            <w:hideMark/>
          </w:tcPr>
          <w:p w14:paraId="0D95B51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D0CECE" w:themeFill="background2" w:themeFillShade="E6"/>
            <w:noWrap/>
            <w:vAlign w:val="center"/>
            <w:hideMark/>
          </w:tcPr>
          <w:p w14:paraId="4350A57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Mensual</w:t>
            </w:r>
            <w:proofErr w:type="spellEnd"/>
          </w:p>
        </w:tc>
        <w:tc>
          <w:tcPr>
            <w:tcW w:w="1134" w:type="dxa"/>
            <w:shd w:val="clear" w:color="auto" w:fill="D0CECE" w:themeFill="background2" w:themeFillShade="E6"/>
            <w:noWrap/>
            <w:vAlign w:val="center"/>
            <w:hideMark/>
          </w:tcPr>
          <w:p w14:paraId="07E9BBD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EMEC</w:t>
            </w:r>
          </w:p>
        </w:tc>
        <w:tc>
          <w:tcPr>
            <w:tcW w:w="992" w:type="dxa"/>
            <w:shd w:val="clear" w:color="auto" w:fill="D0CECE" w:themeFill="background2" w:themeFillShade="E6"/>
            <w:noWrap/>
            <w:vAlign w:val="center"/>
            <w:hideMark/>
          </w:tcPr>
          <w:p w14:paraId="2CD75A75" w14:textId="77777777" w:rsidR="00D7514B" w:rsidRPr="00296E53" w:rsidRDefault="00D7514B" w:rsidP="00D7514B">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20</w:t>
            </w:r>
          </w:p>
        </w:tc>
        <w:tc>
          <w:tcPr>
            <w:tcW w:w="709" w:type="dxa"/>
            <w:shd w:val="clear" w:color="auto" w:fill="D0CECE" w:themeFill="background2" w:themeFillShade="E6"/>
            <w:noWrap/>
            <w:vAlign w:val="center"/>
            <w:hideMark/>
          </w:tcPr>
          <w:p w14:paraId="5CB5F4F2"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30%</w:t>
            </w:r>
          </w:p>
        </w:tc>
        <w:tc>
          <w:tcPr>
            <w:tcW w:w="1134" w:type="dxa"/>
            <w:shd w:val="clear" w:color="auto" w:fill="D0CECE" w:themeFill="background2" w:themeFillShade="E6"/>
            <w:noWrap/>
            <w:vAlign w:val="center"/>
            <w:hideMark/>
          </w:tcPr>
          <w:p w14:paraId="4B82DBD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70%</w:t>
            </w:r>
          </w:p>
        </w:tc>
        <w:tc>
          <w:tcPr>
            <w:tcW w:w="708" w:type="dxa"/>
            <w:shd w:val="clear" w:color="auto" w:fill="D0CECE" w:themeFill="background2" w:themeFillShade="E6"/>
            <w:noWrap/>
            <w:vAlign w:val="center"/>
            <w:hideMark/>
          </w:tcPr>
          <w:p w14:paraId="76382DC7"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3" w:type="dxa"/>
            <w:shd w:val="clear" w:color="auto" w:fill="D0CECE" w:themeFill="background2" w:themeFillShade="E6"/>
            <w:vAlign w:val="center"/>
          </w:tcPr>
          <w:p w14:paraId="64411C5C"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18</w:t>
            </w:r>
          </w:p>
        </w:tc>
        <w:tc>
          <w:tcPr>
            <w:tcW w:w="850" w:type="dxa"/>
            <w:shd w:val="clear" w:color="auto" w:fill="D0CECE" w:themeFill="background2" w:themeFillShade="E6"/>
            <w:vAlign w:val="center"/>
          </w:tcPr>
          <w:p w14:paraId="30E9D302"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39%</w:t>
            </w:r>
          </w:p>
        </w:tc>
        <w:tc>
          <w:tcPr>
            <w:tcW w:w="1134" w:type="dxa"/>
            <w:shd w:val="clear" w:color="auto" w:fill="D0CECE" w:themeFill="background2" w:themeFillShade="E6"/>
            <w:vAlign w:val="center"/>
          </w:tcPr>
          <w:p w14:paraId="1550C88C"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61%</w:t>
            </w:r>
          </w:p>
        </w:tc>
        <w:tc>
          <w:tcPr>
            <w:tcW w:w="709" w:type="dxa"/>
            <w:shd w:val="clear" w:color="auto" w:fill="D0CECE" w:themeFill="background2" w:themeFillShade="E6"/>
            <w:vAlign w:val="center"/>
          </w:tcPr>
          <w:p w14:paraId="572A6E03"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0%</w:t>
            </w:r>
          </w:p>
        </w:tc>
        <w:tc>
          <w:tcPr>
            <w:tcW w:w="992" w:type="dxa"/>
            <w:shd w:val="clear" w:color="auto" w:fill="D0CECE" w:themeFill="background2" w:themeFillShade="E6"/>
            <w:vAlign w:val="center"/>
          </w:tcPr>
          <w:p w14:paraId="11CB4A0D"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18</w:t>
            </w:r>
          </w:p>
        </w:tc>
        <w:tc>
          <w:tcPr>
            <w:tcW w:w="862" w:type="dxa"/>
            <w:shd w:val="clear" w:color="auto" w:fill="D0CECE" w:themeFill="background2" w:themeFillShade="E6"/>
            <w:vAlign w:val="center"/>
          </w:tcPr>
          <w:p w14:paraId="3EE489D9"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39%</w:t>
            </w:r>
          </w:p>
        </w:tc>
        <w:tc>
          <w:tcPr>
            <w:tcW w:w="1123" w:type="dxa"/>
            <w:shd w:val="clear" w:color="auto" w:fill="D0CECE" w:themeFill="background2" w:themeFillShade="E6"/>
            <w:vAlign w:val="center"/>
          </w:tcPr>
          <w:p w14:paraId="60891B5A"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61%</w:t>
            </w:r>
          </w:p>
        </w:tc>
        <w:tc>
          <w:tcPr>
            <w:tcW w:w="719" w:type="dxa"/>
            <w:shd w:val="clear" w:color="auto" w:fill="D0CECE" w:themeFill="background2" w:themeFillShade="E6"/>
            <w:vAlign w:val="center"/>
          </w:tcPr>
          <w:p w14:paraId="06EB3D84"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0%</w:t>
            </w:r>
          </w:p>
        </w:tc>
      </w:tr>
      <w:tr w:rsidR="001A3395" w:rsidRPr="00296E53" w14:paraId="00CEB272" w14:textId="77777777" w:rsidTr="001A3395">
        <w:trPr>
          <w:trHeight w:val="300"/>
          <w:jc w:val="center"/>
        </w:trPr>
        <w:tc>
          <w:tcPr>
            <w:tcW w:w="841" w:type="dxa"/>
            <w:shd w:val="clear" w:color="auto" w:fill="auto"/>
            <w:noWrap/>
            <w:vAlign w:val="center"/>
            <w:hideMark/>
          </w:tcPr>
          <w:p w14:paraId="6566877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auto"/>
            <w:noWrap/>
            <w:vAlign w:val="center"/>
            <w:hideMark/>
          </w:tcPr>
          <w:p w14:paraId="2967402A"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Mensual</w:t>
            </w:r>
            <w:proofErr w:type="spellEnd"/>
          </w:p>
        </w:tc>
        <w:tc>
          <w:tcPr>
            <w:tcW w:w="1134" w:type="dxa"/>
            <w:shd w:val="clear" w:color="auto" w:fill="auto"/>
            <w:noWrap/>
            <w:vAlign w:val="center"/>
            <w:hideMark/>
          </w:tcPr>
          <w:p w14:paraId="7915489F"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EMIM</w:t>
            </w:r>
          </w:p>
        </w:tc>
        <w:tc>
          <w:tcPr>
            <w:tcW w:w="992" w:type="dxa"/>
            <w:shd w:val="clear" w:color="auto" w:fill="auto"/>
            <w:noWrap/>
            <w:vAlign w:val="center"/>
            <w:hideMark/>
          </w:tcPr>
          <w:p w14:paraId="408FF2E6"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236</w:t>
            </w:r>
          </w:p>
        </w:tc>
        <w:tc>
          <w:tcPr>
            <w:tcW w:w="709" w:type="dxa"/>
            <w:shd w:val="clear" w:color="auto" w:fill="auto"/>
            <w:noWrap/>
            <w:vAlign w:val="center"/>
            <w:hideMark/>
          </w:tcPr>
          <w:p w14:paraId="6D66343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89%</w:t>
            </w:r>
          </w:p>
        </w:tc>
        <w:tc>
          <w:tcPr>
            <w:tcW w:w="1134" w:type="dxa"/>
            <w:shd w:val="clear" w:color="auto" w:fill="auto"/>
            <w:noWrap/>
            <w:vAlign w:val="center"/>
            <w:hideMark/>
          </w:tcPr>
          <w:p w14:paraId="04ED6FC8"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w:t>
            </w:r>
          </w:p>
        </w:tc>
        <w:tc>
          <w:tcPr>
            <w:tcW w:w="708" w:type="dxa"/>
            <w:shd w:val="clear" w:color="auto" w:fill="auto"/>
            <w:noWrap/>
            <w:vAlign w:val="center"/>
            <w:hideMark/>
          </w:tcPr>
          <w:p w14:paraId="23E60AD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w:t>
            </w:r>
          </w:p>
        </w:tc>
        <w:tc>
          <w:tcPr>
            <w:tcW w:w="993" w:type="dxa"/>
            <w:vAlign w:val="center"/>
          </w:tcPr>
          <w:p w14:paraId="4B39F8D9" w14:textId="7D23E725"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219</w:t>
            </w:r>
          </w:p>
        </w:tc>
        <w:tc>
          <w:tcPr>
            <w:tcW w:w="850" w:type="dxa"/>
            <w:vAlign w:val="center"/>
          </w:tcPr>
          <w:p w14:paraId="0A0C7F84"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78%</w:t>
            </w:r>
          </w:p>
        </w:tc>
        <w:tc>
          <w:tcPr>
            <w:tcW w:w="1134" w:type="dxa"/>
            <w:vAlign w:val="center"/>
          </w:tcPr>
          <w:p w14:paraId="1C84A6E6"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22%</w:t>
            </w:r>
          </w:p>
        </w:tc>
        <w:tc>
          <w:tcPr>
            <w:tcW w:w="709" w:type="dxa"/>
            <w:vAlign w:val="center"/>
          </w:tcPr>
          <w:p w14:paraId="28038505"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0%</w:t>
            </w:r>
          </w:p>
        </w:tc>
        <w:tc>
          <w:tcPr>
            <w:tcW w:w="992" w:type="dxa"/>
            <w:vAlign w:val="center"/>
          </w:tcPr>
          <w:p w14:paraId="2A12E4E3" w14:textId="49E6D03A"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219</w:t>
            </w:r>
          </w:p>
        </w:tc>
        <w:tc>
          <w:tcPr>
            <w:tcW w:w="862" w:type="dxa"/>
            <w:vAlign w:val="center"/>
          </w:tcPr>
          <w:p w14:paraId="31E3AAAA"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78%</w:t>
            </w:r>
          </w:p>
        </w:tc>
        <w:tc>
          <w:tcPr>
            <w:tcW w:w="1123" w:type="dxa"/>
            <w:vAlign w:val="center"/>
          </w:tcPr>
          <w:p w14:paraId="0616F934"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22%</w:t>
            </w:r>
          </w:p>
        </w:tc>
        <w:tc>
          <w:tcPr>
            <w:tcW w:w="719" w:type="dxa"/>
            <w:vAlign w:val="center"/>
          </w:tcPr>
          <w:p w14:paraId="3A62F145"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0%</w:t>
            </w:r>
          </w:p>
        </w:tc>
      </w:tr>
      <w:tr w:rsidR="001A3395" w:rsidRPr="00296E53" w14:paraId="15801438" w14:textId="77777777" w:rsidTr="001A3395">
        <w:trPr>
          <w:trHeight w:val="300"/>
          <w:jc w:val="center"/>
        </w:trPr>
        <w:tc>
          <w:tcPr>
            <w:tcW w:w="841" w:type="dxa"/>
            <w:shd w:val="clear" w:color="auto" w:fill="D0CECE" w:themeFill="background2" w:themeFillShade="E6"/>
            <w:noWrap/>
            <w:vAlign w:val="center"/>
            <w:hideMark/>
          </w:tcPr>
          <w:p w14:paraId="14A072B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D0CECE" w:themeFill="background2" w:themeFillShade="E6"/>
            <w:noWrap/>
            <w:vAlign w:val="center"/>
            <w:hideMark/>
          </w:tcPr>
          <w:p w14:paraId="6A5EA6C2"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Mensual</w:t>
            </w:r>
            <w:proofErr w:type="spellEnd"/>
          </w:p>
        </w:tc>
        <w:tc>
          <w:tcPr>
            <w:tcW w:w="1134" w:type="dxa"/>
            <w:shd w:val="clear" w:color="auto" w:fill="D0CECE" w:themeFill="background2" w:themeFillShade="E6"/>
            <w:noWrap/>
            <w:vAlign w:val="center"/>
            <w:hideMark/>
          </w:tcPr>
          <w:p w14:paraId="4C304D9C"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EMS</w:t>
            </w:r>
          </w:p>
        </w:tc>
        <w:tc>
          <w:tcPr>
            <w:tcW w:w="992" w:type="dxa"/>
            <w:shd w:val="clear" w:color="auto" w:fill="D0CECE" w:themeFill="background2" w:themeFillShade="E6"/>
            <w:noWrap/>
            <w:vAlign w:val="center"/>
            <w:hideMark/>
          </w:tcPr>
          <w:p w14:paraId="741E35D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60</w:t>
            </w:r>
          </w:p>
        </w:tc>
        <w:tc>
          <w:tcPr>
            <w:tcW w:w="709" w:type="dxa"/>
            <w:shd w:val="clear" w:color="auto" w:fill="D0CECE" w:themeFill="background2" w:themeFillShade="E6"/>
            <w:noWrap/>
            <w:vAlign w:val="center"/>
            <w:hideMark/>
          </w:tcPr>
          <w:p w14:paraId="46041641"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72%</w:t>
            </w:r>
          </w:p>
        </w:tc>
        <w:tc>
          <w:tcPr>
            <w:tcW w:w="1134" w:type="dxa"/>
            <w:shd w:val="clear" w:color="auto" w:fill="D0CECE" w:themeFill="background2" w:themeFillShade="E6"/>
            <w:noWrap/>
            <w:vAlign w:val="center"/>
            <w:hideMark/>
          </w:tcPr>
          <w:p w14:paraId="25D6886B"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28%</w:t>
            </w:r>
          </w:p>
        </w:tc>
        <w:tc>
          <w:tcPr>
            <w:tcW w:w="708" w:type="dxa"/>
            <w:shd w:val="clear" w:color="auto" w:fill="D0CECE" w:themeFill="background2" w:themeFillShade="E6"/>
            <w:noWrap/>
            <w:vAlign w:val="center"/>
            <w:hideMark/>
          </w:tcPr>
          <w:p w14:paraId="323C2B51"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3" w:type="dxa"/>
            <w:shd w:val="clear" w:color="auto" w:fill="D0CECE" w:themeFill="background2" w:themeFillShade="E6"/>
            <w:vAlign w:val="center"/>
          </w:tcPr>
          <w:p w14:paraId="49568FFA" w14:textId="65676050"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60</w:t>
            </w:r>
          </w:p>
        </w:tc>
        <w:tc>
          <w:tcPr>
            <w:tcW w:w="850" w:type="dxa"/>
            <w:shd w:val="clear" w:color="auto" w:fill="D0CECE" w:themeFill="background2" w:themeFillShade="E6"/>
            <w:vAlign w:val="center"/>
          </w:tcPr>
          <w:p w14:paraId="18DE4396"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73%</w:t>
            </w:r>
          </w:p>
        </w:tc>
        <w:tc>
          <w:tcPr>
            <w:tcW w:w="1134" w:type="dxa"/>
            <w:shd w:val="clear" w:color="auto" w:fill="D0CECE" w:themeFill="background2" w:themeFillShade="E6"/>
            <w:vAlign w:val="center"/>
          </w:tcPr>
          <w:p w14:paraId="21D39C33"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27%</w:t>
            </w:r>
          </w:p>
        </w:tc>
        <w:tc>
          <w:tcPr>
            <w:tcW w:w="709" w:type="dxa"/>
            <w:shd w:val="clear" w:color="auto" w:fill="D0CECE" w:themeFill="background2" w:themeFillShade="E6"/>
            <w:vAlign w:val="center"/>
          </w:tcPr>
          <w:p w14:paraId="4E1C07AD" w14:textId="77777777" w:rsidR="00D7514B" w:rsidRPr="00296E53" w:rsidRDefault="00D7514B" w:rsidP="00D7514B">
            <w:pPr>
              <w:spacing w:after="0" w:line="240" w:lineRule="auto"/>
              <w:jc w:val="center"/>
              <w:rPr>
                <w:rFonts w:ascii="Century Gothic" w:eastAsia="Times New Roman" w:hAnsi="Century Gothic" w:cs="Calibri"/>
                <w:strike/>
                <w:color w:val="FF0000"/>
                <w:sz w:val="17"/>
                <w:szCs w:val="17"/>
                <w:lang w:val="en-US"/>
              </w:rPr>
            </w:pPr>
            <w:r w:rsidRPr="00296E53">
              <w:rPr>
                <w:rFonts w:ascii="Century Gothic" w:eastAsia="Times New Roman" w:hAnsi="Century Gothic" w:cs="Calibri"/>
                <w:sz w:val="17"/>
                <w:szCs w:val="17"/>
                <w:lang w:val="en-US"/>
              </w:rPr>
              <w:t>0%</w:t>
            </w:r>
          </w:p>
        </w:tc>
        <w:tc>
          <w:tcPr>
            <w:tcW w:w="992" w:type="dxa"/>
            <w:shd w:val="clear" w:color="auto" w:fill="D0CECE" w:themeFill="background2" w:themeFillShade="E6"/>
            <w:vAlign w:val="center"/>
          </w:tcPr>
          <w:p w14:paraId="245F45B3" w14:textId="36CF21E1"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60</w:t>
            </w:r>
          </w:p>
        </w:tc>
        <w:tc>
          <w:tcPr>
            <w:tcW w:w="862" w:type="dxa"/>
            <w:shd w:val="clear" w:color="auto" w:fill="D0CECE" w:themeFill="background2" w:themeFillShade="E6"/>
            <w:vAlign w:val="center"/>
          </w:tcPr>
          <w:p w14:paraId="7601B34C"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73%</w:t>
            </w:r>
          </w:p>
        </w:tc>
        <w:tc>
          <w:tcPr>
            <w:tcW w:w="1123" w:type="dxa"/>
            <w:shd w:val="clear" w:color="auto" w:fill="D0CECE" w:themeFill="background2" w:themeFillShade="E6"/>
            <w:vAlign w:val="center"/>
          </w:tcPr>
          <w:p w14:paraId="3A48718E"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27%</w:t>
            </w:r>
          </w:p>
        </w:tc>
        <w:tc>
          <w:tcPr>
            <w:tcW w:w="719" w:type="dxa"/>
            <w:shd w:val="clear" w:color="auto" w:fill="D0CECE" w:themeFill="background2" w:themeFillShade="E6"/>
            <w:vAlign w:val="center"/>
          </w:tcPr>
          <w:p w14:paraId="083933AC"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0%</w:t>
            </w:r>
          </w:p>
        </w:tc>
      </w:tr>
    </w:tbl>
    <w:p w14:paraId="6D946DCD" w14:textId="39F5CFB8" w:rsidR="008370A6" w:rsidRPr="00296E53" w:rsidRDefault="008370A6" w:rsidP="00D103B2">
      <w:pPr>
        <w:spacing w:after="0"/>
        <w:ind w:left="284"/>
        <w:jc w:val="both"/>
        <w:rPr>
          <w:rFonts w:ascii="Century Gothic" w:eastAsia="Century Gothic" w:hAnsi="Century Gothic" w:cs="Century Gothic"/>
          <w:position w:val="4"/>
          <w:sz w:val="15"/>
          <w:szCs w:val="15"/>
        </w:rPr>
      </w:pPr>
      <w:r w:rsidRPr="00296E53">
        <w:rPr>
          <w:rFonts w:ascii="Century Gothic" w:eastAsia="Century Gothic" w:hAnsi="Century Gothic" w:cs="Century Gothic"/>
          <w:position w:val="4"/>
          <w:sz w:val="15"/>
          <w:szCs w:val="15"/>
        </w:rPr>
        <w:t xml:space="preserve">a/ Los umbrales para la cobertura de la variable de diseño aprobados por el Comité de Aseguramiento de la Calidad para encuestas en unidades económicas / Estos programas tienen un diseño mixto, es decir, una parte probabilística y una </w:t>
      </w:r>
      <w:r w:rsidR="00455E6E" w:rsidRPr="00296E53">
        <w:rPr>
          <w:rFonts w:ascii="Century Gothic" w:eastAsia="Century Gothic" w:hAnsi="Century Gothic" w:cs="Century Gothic"/>
          <w:position w:val="4"/>
          <w:sz w:val="15"/>
          <w:szCs w:val="15"/>
        </w:rPr>
        <w:t>no probabilística.</w:t>
      </w:r>
      <w:r w:rsidRPr="00296E53">
        <w:rPr>
          <w:rFonts w:ascii="Century Gothic" w:eastAsia="Century Gothic" w:hAnsi="Century Gothic" w:cs="Century Gothic"/>
          <w:position w:val="4"/>
          <w:sz w:val="15"/>
          <w:szCs w:val="15"/>
        </w:rPr>
        <w:t xml:space="preserve"> </w:t>
      </w:r>
    </w:p>
    <w:p w14:paraId="635DC904" w14:textId="6B55CD1D"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2018, correspondientes a los indicadores registrados en metadatos durante ese año, independientemente del período de publicación de la información.</w:t>
      </w:r>
    </w:p>
    <w:p w14:paraId="1A028667" w14:textId="03C974C0"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2019, correspondientes a los indicadores registrados en metadatos durante ese año, independientemente del período de publicación de la información.</w:t>
      </w:r>
    </w:p>
    <w:p w14:paraId="1FF580E9" w14:textId="5797CEE9" w:rsidR="00D103B2"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corresponden a los indicadores registrados en metadatos durante el 2020, independientemente del período de publicación de la información.</w:t>
      </w:r>
    </w:p>
    <w:p w14:paraId="75E99383" w14:textId="7F6BCC24" w:rsidR="00494D81" w:rsidRPr="00296E53" w:rsidRDefault="00494D81" w:rsidP="00D103B2">
      <w:pPr>
        <w:spacing w:after="0"/>
        <w:ind w:left="426" w:hanging="142"/>
        <w:jc w:val="both"/>
        <w:rPr>
          <w:rFonts w:ascii="Century Gothic" w:hAnsi="Century Gothic"/>
          <w:sz w:val="14"/>
          <w:szCs w:val="14"/>
        </w:rPr>
      </w:pPr>
      <w:r>
        <w:rPr>
          <w:rFonts w:ascii="Century Gothic" w:hAnsi="Century Gothic"/>
          <w:sz w:val="14"/>
          <w:szCs w:val="14"/>
        </w:rPr>
        <w:t xml:space="preserve">****El número de casos totales corresponde a la multiplicación de los indicadores objetivo por los dominios de estudio por el número de publicaciones durante el año.  Dado que en 2018 se comenzó la publicación de los indicadores de precisión estadística </w:t>
      </w:r>
      <w:r w:rsidR="002207A6">
        <w:rPr>
          <w:rFonts w:ascii="Century Gothic" w:hAnsi="Century Gothic"/>
          <w:sz w:val="14"/>
          <w:szCs w:val="14"/>
        </w:rPr>
        <w:t>no se publicaron para los 12 meses, en 2019 se publicaron más de 12 meses ya que se reportaron los faltantes en 2018 y, en 2020 se publicaron conforme a lo mencionado en el cuadro A.6.2.</w:t>
      </w:r>
    </w:p>
    <w:p w14:paraId="724539EC" w14:textId="77777777" w:rsidR="00BE519D" w:rsidRPr="00296E53" w:rsidRDefault="00BE519D" w:rsidP="00626A50">
      <w:pPr>
        <w:jc w:val="both"/>
        <w:rPr>
          <w:rFonts w:ascii="Century Gothic" w:hAnsi="Century Gothic" w:cstheme="minorHAnsi"/>
          <w:sz w:val="19"/>
          <w:szCs w:val="19"/>
        </w:rPr>
      </w:pPr>
    </w:p>
    <w:p w14:paraId="7F76072E" w14:textId="02E0A370" w:rsidR="00BE519D" w:rsidRPr="00296E53" w:rsidRDefault="00626A50" w:rsidP="002207A6">
      <w:pPr>
        <w:jc w:val="both"/>
        <w:rPr>
          <w:rFonts w:ascii="Century Gothic" w:hAnsi="Century Gothic" w:cstheme="minorHAnsi"/>
          <w:sz w:val="19"/>
          <w:szCs w:val="19"/>
        </w:rPr>
      </w:pPr>
      <w:r w:rsidRPr="00296E53">
        <w:rPr>
          <w:rFonts w:ascii="Century Gothic" w:hAnsi="Century Gothic" w:cstheme="minorHAnsi"/>
          <w:sz w:val="19"/>
          <w:szCs w:val="19"/>
        </w:rPr>
        <w:t>En los cuadros A.6.4. y A.6.5.</w:t>
      </w:r>
      <w:r w:rsidR="00915E45" w:rsidRPr="00296E53">
        <w:rPr>
          <w:rFonts w:ascii="Century Gothic" w:hAnsi="Century Gothic" w:cstheme="minorHAnsi"/>
          <w:sz w:val="19"/>
          <w:szCs w:val="19"/>
        </w:rPr>
        <w:t>,</w:t>
      </w:r>
      <w:r w:rsidRPr="00296E53">
        <w:rPr>
          <w:rFonts w:ascii="Century Gothic" w:hAnsi="Century Gothic" w:cstheme="minorHAnsi"/>
          <w:sz w:val="19"/>
          <w:szCs w:val="19"/>
        </w:rPr>
        <w:t xml:space="preserve"> se presenta el porcentaje de coeficientes de variación reportados que se encuentran en cada uno de los rangos de interpretación de la precisión: alta, moderada y baja. El número de casos totales corresponde al número de indicadores de diseño en cada dominio de estudio conforme a la periodicidad del programa.</w:t>
      </w:r>
      <w:r w:rsidR="00A64AA8" w:rsidRPr="00296E53">
        <w:rPr>
          <w:rFonts w:ascii="Century Gothic" w:hAnsi="Century Gothic" w:cstheme="minorHAnsi"/>
          <w:sz w:val="19"/>
          <w:szCs w:val="19"/>
        </w:rPr>
        <w:t xml:space="preserve">  </w:t>
      </w:r>
      <w:r w:rsidR="00BE519D" w:rsidRPr="00296E53">
        <w:rPr>
          <w:rFonts w:ascii="Century Gothic" w:hAnsi="Century Gothic" w:cstheme="minorHAnsi"/>
          <w:sz w:val="19"/>
          <w:szCs w:val="19"/>
        </w:rPr>
        <w:br w:type="page"/>
      </w:r>
    </w:p>
    <w:p w14:paraId="6DFE5F5A" w14:textId="77777777" w:rsidR="00F10522" w:rsidRPr="00296E53" w:rsidRDefault="00F10522" w:rsidP="00F10522">
      <w:pPr>
        <w:jc w:val="center"/>
        <w:rPr>
          <w:rFonts w:ascii="Century Gothic" w:hAnsi="Century Gothic" w:cstheme="majorHAnsi"/>
          <w:b/>
          <w:sz w:val="19"/>
          <w:szCs w:val="19"/>
        </w:rPr>
      </w:pPr>
      <w:r w:rsidRPr="00296E53">
        <w:rPr>
          <w:rFonts w:ascii="Century Gothic" w:hAnsi="Century Gothic" w:cstheme="majorHAnsi"/>
          <w:b/>
          <w:sz w:val="19"/>
          <w:szCs w:val="19"/>
        </w:rPr>
        <w:t>A.6.4. Frecuencias del Coeficiente de Variación en encuestas en unidades económicas</w:t>
      </w:r>
      <w:r w:rsidRPr="00296E53">
        <w:rPr>
          <w:rFonts w:ascii="Century Gothic" w:hAnsi="Century Gothic" w:cstheme="majorHAnsi"/>
          <w:b/>
          <w:sz w:val="19"/>
          <w:szCs w:val="19"/>
        </w:rPr>
        <w:br/>
        <w:t xml:space="preserve"> de acuerdo con los umbrales aprobados en el Comité por Programa</w:t>
      </w:r>
    </w:p>
    <w:tbl>
      <w:tblPr>
        <w:tblW w:w="13480" w:type="dxa"/>
        <w:jc w:val="center"/>
        <w:tblLook w:val="04A0" w:firstRow="1" w:lastRow="0" w:firstColumn="1" w:lastColumn="0" w:noHBand="0" w:noVBand="1"/>
      </w:tblPr>
      <w:tblGrid>
        <w:gridCol w:w="998"/>
        <w:gridCol w:w="1268"/>
        <w:gridCol w:w="1260"/>
        <w:gridCol w:w="920"/>
        <w:gridCol w:w="900"/>
        <w:gridCol w:w="1111"/>
        <w:gridCol w:w="620"/>
        <w:gridCol w:w="878"/>
        <w:gridCol w:w="631"/>
        <w:gridCol w:w="1111"/>
        <w:gridCol w:w="611"/>
        <w:gridCol w:w="878"/>
        <w:gridCol w:w="631"/>
        <w:gridCol w:w="1111"/>
        <w:gridCol w:w="611"/>
      </w:tblGrid>
      <w:tr w:rsidR="008F5F4D" w:rsidRPr="00296E53" w14:paraId="33A676B4" w14:textId="77777777" w:rsidTr="008F5F4D">
        <w:trPr>
          <w:trHeight w:val="315"/>
          <w:jc w:val="center"/>
        </w:trPr>
        <w:tc>
          <w:tcPr>
            <w:tcW w:w="880"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529CF269" w14:textId="77777777"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UA</w:t>
            </w:r>
          </w:p>
        </w:tc>
        <w:tc>
          <w:tcPr>
            <w:tcW w:w="1140"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6A0C8394" w14:textId="77777777"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Periodicidad</w:t>
            </w:r>
            <w:proofErr w:type="spellEnd"/>
          </w:p>
        </w:tc>
        <w:tc>
          <w:tcPr>
            <w:tcW w:w="1260"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7D20B202" w14:textId="77777777"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Programa</w:t>
            </w:r>
            <w:proofErr w:type="spellEnd"/>
          </w:p>
        </w:tc>
        <w:tc>
          <w:tcPr>
            <w:tcW w:w="340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6A59F07C" w14:textId="096C33DE"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Indicadores</w:t>
            </w:r>
            <w:proofErr w:type="spellEnd"/>
            <w:r w:rsidRPr="00296E53">
              <w:rPr>
                <w:rFonts w:ascii="Century Gothic" w:eastAsia="Times New Roman" w:hAnsi="Century Gothic" w:cs="Calibri"/>
                <w:color w:val="FFFFFF"/>
                <w:sz w:val="17"/>
                <w:szCs w:val="17"/>
                <w:lang w:val="en-US"/>
              </w:rPr>
              <w:t xml:space="preserve"> </w:t>
            </w:r>
            <w:proofErr w:type="spellStart"/>
            <w:r w:rsidRPr="00296E53">
              <w:rPr>
                <w:rFonts w:ascii="Century Gothic" w:eastAsia="Times New Roman" w:hAnsi="Century Gothic" w:cs="Calibri"/>
                <w:color w:val="FFFFFF"/>
                <w:sz w:val="17"/>
                <w:szCs w:val="17"/>
                <w:lang w:val="en-US"/>
              </w:rPr>
              <w:t>publicados</w:t>
            </w:r>
            <w:proofErr w:type="spellEnd"/>
            <w:r w:rsidRPr="00296E53">
              <w:rPr>
                <w:rFonts w:ascii="Century Gothic" w:eastAsia="Times New Roman" w:hAnsi="Century Gothic" w:cs="Calibri"/>
                <w:color w:val="FFFFFF"/>
                <w:sz w:val="17"/>
                <w:szCs w:val="17"/>
                <w:lang w:val="en-US"/>
              </w:rPr>
              <w:t xml:space="preserve"> </w:t>
            </w:r>
            <w:proofErr w:type="spellStart"/>
            <w:r w:rsidRPr="00296E53">
              <w:rPr>
                <w:rFonts w:ascii="Century Gothic" w:eastAsia="Times New Roman" w:hAnsi="Century Gothic" w:cs="Calibri"/>
                <w:color w:val="FFFFFF"/>
                <w:sz w:val="17"/>
                <w:szCs w:val="17"/>
                <w:lang w:val="en-US"/>
              </w:rPr>
              <w:t>en</w:t>
            </w:r>
            <w:proofErr w:type="spellEnd"/>
            <w:r w:rsidRPr="00296E53">
              <w:rPr>
                <w:rFonts w:ascii="Century Gothic" w:eastAsia="Times New Roman" w:hAnsi="Century Gothic" w:cs="Calibri"/>
                <w:color w:val="FFFFFF"/>
                <w:sz w:val="17"/>
                <w:szCs w:val="17"/>
                <w:lang w:val="en-US"/>
              </w:rPr>
              <w:t xml:space="preserve"> 2018</w:t>
            </w:r>
            <w:r w:rsidR="00D103B2" w:rsidRPr="00296E53">
              <w:rPr>
                <w:rFonts w:ascii="Century Gothic" w:eastAsia="Times New Roman" w:hAnsi="Century Gothic" w:cs="Calibri"/>
                <w:color w:val="FFFFFF"/>
                <w:sz w:val="17"/>
                <w:szCs w:val="17"/>
                <w:lang w:val="en-US"/>
              </w:rPr>
              <w:t>*</w:t>
            </w:r>
          </w:p>
        </w:tc>
        <w:tc>
          <w:tcPr>
            <w:tcW w:w="340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176BA555" w14:textId="22917BE7"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Indicadores</w:t>
            </w:r>
            <w:proofErr w:type="spellEnd"/>
            <w:r w:rsidRPr="00296E53">
              <w:rPr>
                <w:rFonts w:ascii="Century Gothic" w:eastAsia="Times New Roman" w:hAnsi="Century Gothic" w:cs="Calibri"/>
                <w:color w:val="FFFFFF"/>
                <w:sz w:val="17"/>
                <w:szCs w:val="17"/>
                <w:lang w:val="en-US"/>
              </w:rPr>
              <w:t xml:space="preserve"> </w:t>
            </w:r>
            <w:proofErr w:type="spellStart"/>
            <w:r w:rsidRPr="00296E53">
              <w:rPr>
                <w:rFonts w:ascii="Century Gothic" w:eastAsia="Times New Roman" w:hAnsi="Century Gothic" w:cs="Calibri"/>
                <w:color w:val="FFFFFF"/>
                <w:sz w:val="17"/>
                <w:szCs w:val="17"/>
                <w:lang w:val="en-US"/>
              </w:rPr>
              <w:t>publicados</w:t>
            </w:r>
            <w:proofErr w:type="spellEnd"/>
            <w:r w:rsidRPr="00296E53">
              <w:rPr>
                <w:rFonts w:ascii="Century Gothic" w:eastAsia="Times New Roman" w:hAnsi="Century Gothic" w:cs="Calibri"/>
                <w:color w:val="FFFFFF"/>
                <w:sz w:val="17"/>
                <w:szCs w:val="17"/>
                <w:lang w:val="en-US"/>
              </w:rPr>
              <w:t xml:space="preserve"> </w:t>
            </w:r>
            <w:proofErr w:type="spellStart"/>
            <w:r w:rsidRPr="00296E53">
              <w:rPr>
                <w:rFonts w:ascii="Century Gothic" w:eastAsia="Times New Roman" w:hAnsi="Century Gothic" w:cs="Calibri"/>
                <w:color w:val="FFFFFF"/>
                <w:sz w:val="17"/>
                <w:szCs w:val="17"/>
                <w:lang w:val="en-US"/>
              </w:rPr>
              <w:t>en</w:t>
            </w:r>
            <w:proofErr w:type="spellEnd"/>
            <w:r w:rsidRPr="00296E53">
              <w:rPr>
                <w:rFonts w:ascii="Century Gothic" w:eastAsia="Times New Roman" w:hAnsi="Century Gothic" w:cs="Calibri"/>
                <w:color w:val="FFFFFF"/>
                <w:sz w:val="17"/>
                <w:szCs w:val="17"/>
                <w:lang w:val="en-US"/>
              </w:rPr>
              <w:t xml:space="preserve"> 2019</w:t>
            </w:r>
            <w:r w:rsidR="00D103B2" w:rsidRPr="00296E53">
              <w:rPr>
                <w:rFonts w:ascii="Century Gothic" w:eastAsia="Times New Roman" w:hAnsi="Century Gothic" w:cs="Calibri"/>
                <w:color w:val="FFFFFF"/>
                <w:sz w:val="17"/>
                <w:szCs w:val="17"/>
                <w:lang w:val="en-US"/>
              </w:rPr>
              <w:t>**</w:t>
            </w:r>
          </w:p>
        </w:tc>
        <w:tc>
          <w:tcPr>
            <w:tcW w:w="340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17B27104" w14:textId="1DAC925F"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Indicadores</w:t>
            </w:r>
            <w:proofErr w:type="spellEnd"/>
            <w:r w:rsidRPr="00296E53">
              <w:rPr>
                <w:rFonts w:ascii="Century Gothic" w:eastAsia="Times New Roman" w:hAnsi="Century Gothic" w:cs="Calibri"/>
                <w:color w:val="FFFFFF"/>
                <w:sz w:val="17"/>
                <w:szCs w:val="17"/>
                <w:lang w:val="en-US"/>
              </w:rPr>
              <w:t xml:space="preserve"> </w:t>
            </w:r>
            <w:proofErr w:type="spellStart"/>
            <w:r w:rsidRPr="00296E53">
              <w:rPr>
                <w:rFonts w:ascii="Century Gothic" w:eastAsia="Times New Roman" w:hAnsi="Century Gothic" w:cs="Calibri"/>
                <w:color w:val="FFFFFF"/>
                <w:sz w:val="17"/>
                <w:szCs w:val="17"/>
                <w:lang w:val="en-US"/>
              </w:rPr>
              <w:t>publicados</w:t>
            </w:r>
            <w:proofErr w:type="spellEnd"/>
            <w:r w:rsidRPr="00296E53">
              <w:rPr>
                <w:rFonts w:ascii="Century Gothic" w:eastAsia="Times New Roman" w:hAnsi="Century Gothic" w:cs="Calibri"/>
                <w:color w:val="FFFFFF"/>
                <w:sz w:val="17"/>
                <w:szCs w:val="17"/>
                <w:lang w:val="en-US"/>
              </w:rPr>
              <w:t xml:space="preserve"> </w:t>
            </w:r>
            <w:proofErr w:type="spellStart"/>
            <w:r w:rsidRPr="00296E53">
              <w:rPr>
                <w:rFonts w:ascii="Century Gothic" w:eastAsia="Times New Roman" w:hAnsi="Century Gothic" w:cs="Calibri"/>
                <w:color w:val="FFFFFF"/>
                <w:sz w:val="17"/>
                <w:szCs w:val="17"/>
                <w:lang w:val="en-US"/>
              </w:rPr>
              <w:t>en</w:t>
            </w:r>
            <w:proofErr w:type="spellEnd"/>
            <w:r w:rsidRPr="00296E53">
              <w:rPr>
                <w:rFonts w:ascii="Century Gothic" w:eastAsia="Times New Roman" w:hAnsi="Century Gothic" w:cs="Calibri"/>
                <w:color w:val="FFFFFF"/>
                <w:sz w:val="17"/>
                <w:szCs w:val="17"/>
                <w:lang w:val="en-US"/>
              </w:rPr>
              <w:t xml:space="preserve"> 2020</w:t>
            </w:r>
            <w:r w:rsidR="00D103B2" w:rsidRPr="00296E53">
              <w:rPr>
                <w:rFonts w:ascii="Century Gothic" w:eastAsia="Times New Roman" w:hAnsi="Century Gothic" w:cs="Calibri"/>
                <w:color w:val="FFFFFF"/>
                <w:sz w:val="17"/>
                <w:szCs w:val="17"/>
                <w:lang w:val="en-US"/>
              </w:rPr>
              <w:t>***</w:t>
            </w:r>
          </w:p>
        </w:tc>
      </w:tr>
      <w:tr w:rsidR="008F5F4D" w:rsidRPr="00296E53" w14:paraId="5A02029B" w14:textId="77777777" w:rsidTr="008F5F4D">
        <w:trPr>
          <w:trHeight w:val="315"/>
          <w:jc w:val="center"/>
        </w:trPr>
        <w:tc>
          <w:tcPr>
            <w:tcW w:w="880" w:type="dxa"/>
            <w:vMerge/>
            <w:tcBorders>
              <w:top w:val="single" w:sz="8" w:space="0" w:color="AEAAAA"/>
              <w:left w:val="single" w:sz="8" w:space="0" w:color="AEAAAA"/>
              <w:bottom w:val="single" w:sz="8" w:space="0" w:color="AEAAAA"/>
              <w:right w:val="single" w:sz="8" w:space="0" w:color="AEAAAA"/>
            </w:tcBorders>
            <w:vAlign w:val="center"/>
            <w:hideMark/>
          </w:tcPr>
          <w:p w14:paraId="14249F7A"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1140" w:type="dxa"/>
            <w:vMerge/>
            <w:tcBorders>
              <w:top w:val="single" w:sz="8" w:space="0" w:color="AEAAAA"/>
              <w:left w:val="single" w:sz="8" w:space="0" w:color="AEAAAA"/>
              <w:bottom w:val="single" w:sz="8" w:space="0" w:color="AEAAAA"/>
              <w:right w:val="single" w:sz="8" w:space="0" w:color="AEAAAA"/>
            </w:tcBorders>
            <w:vAlign w:val="center"/>
            <w:hideMark/>
          </w:tcPr>
          <w:p w14:paraId="5C06B4C1"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1260" w:type="dxa"/>
            <w:vMerge/>
            <w:tcBorders>
              <w:top w:val="single" w:sz="8" w:space="0" w:color="AEAAAA"/>
              <w:left w:val="single" w:sz="8" w:space="0" w:color="AEAAAA"/>
              <w:bottom w:val="single" w:sz="8" w:space="0" w:color="AEAAAA"/>
              <w:right w:val="single" w:sz="8" w:space="0" w:color="AEAAAA"/>
            </w:tcBorders>
            <w:vAlign w:val="center"/>
            <w:hideMark/>
          </w:tcPr>
          <w:p w14:paraId="08513B1D"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920"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2F5589B3" w14:textId="0A620FF4"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Número</w:t>
            </w:r>
            <w:proofErr w:type="spellEnd"/>
            <w:r w:rsidRPr="00296E53">
              <w:rPr>
                <w:rFonts w:ascii="Century Gothic" w:eastAsia="Times New Roman" w:hAnsi="Century Gothic" w:cs="Calibri"/>
                <w:color w:val="FFFFFF"/>
                <w:sz w:val="17"/>
                <w:szCs w:val="17"/>
                <w:lang w:val="en-US"/>
              </w:rPr>
              <w:t xml:space="preserve"> de Casos </w:t>
            </w:r>
            <w:proofErr w:type="spellStart"/>
            <w:r w:rsidRPr="00296E53">
              <w:rPr>
                <w:rFonts w:ascii="Century Gothic" w:eastAsia="Times New Roman" w:hAnsi="Century Gothic" w:cs="Calibri"/>
                <w:color w:val="FFFFFF"/>
                <w:sz w:val="17"/>
                <w:szCs w:val="17"/>
                <w:lang w:val="en-US"/>
              </w:rPr>
              <w:t>Totales</w:t>
            </w:r>
            <w:proofErr w:type="spellEnd"/>
            <w:r w:rsidR="002207A6">
              <w:rPr>
                <w:rFonts w:ascii="Century Gothic" w:eastAsia="Times New Roman" w:hAnsi="Century Gothic" w:cs="Calibri"/>
                <w:color w:val="FFFFFF"/>
                <w:sz w:val="17"/>
                <w:szCs w:val="17"/>
                <w:lang w:val="en-US"/>
              </w:rPr>
              <w:br/>
              <w:t>****</w:t>
            </w:r>
          </w:p>
        </w:tc>
        <w:tc>
          <w:tcPr>
            <w:tcW w:w="900" w:type="dxa"/>
            <w:tcBorders>
              <w:top w:val="nil"/>
              <w:left w:val="nil"/>
              <w:bottom w:val="nil"/>
              <w:right w:val="single" w:sz="8" w:space="0" w:color="AEAAAA"/>
            </w:tcBorders>
            <w:shd w:val="clear" w:color="auto" w:fill="auto"/>
            <w:vAlign w:val="center"/>
            <w:hideMark/>
          </w:tcPr>
          <w:p w14:paraId="7F905A6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Alta</w:t>
            </w:r>
          </w:p>
        </w:tc>
        <w:tc>
          <w:tcPr>
            <w:tcW w:w="960"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5FE96BCC" w14:textId="454B435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Moderada</w:t>
            </w:r>
            <w:proofErr w:type="spellEnd"/>
            <w:r w:rsidRPr="00296E53">
              <w:rPr>
                <w:rFonts w:ascii="Century Gothic" w:eastAsia="Times New Roman" w:hAnsi="Century Gothic" w:cs="Calibri"/>
                <w:color w:val="000000"/>
                <w:sz w:val="17"/>
                <w:szCs w:val="17"/>
                <w:lang w:val="en-US"/>
              </w:rPr>
              <w:t xml:space="preserve"> [20-30)</w:t>
            </w:r>
            <w:r w:rsidRPr="00296E53">
              <w:rPr>
                <w:rFonts w:ascii="Century Gothic" w:eastAsia="Times New Roman" w:hAnsi="Century Gothic" w:cs="Calibri"/>
                <w:color w:val="000000"/>
                <w:sz w:val="17"/>
                <w:szCs w:val="17"/>
                <w:vertAlign w:val="superscript"/>
                <w:lang w:val="en-US"/>
              </w:rPr>
              <w:t xml:space="preserve"> a/</w:t>
            </w:r>
          </w:p>
        </w:tc>
        <w:tc>
          <w:tcPr>
            <w:tcW w:w="620"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18D9627B"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Baja &gt;=30</w:t>
            </w:r>
            <w:r w:rsidRPr="00296E53">
              <w:rPr>
                <w:rFonts w:ascii="Century Gothic" w:eastAsia="Times New Roman" w:hAnsi="Century Gothic" w:cs="Calibri"/>
                <w:color w:val="000000"/>
                <w:sz w:val="17"/>
                <w:szCs w:val="17"/>
                <w:vertAlign w:val="superscript"/>
                <w:lang w:val="en-US"/>
              </w:rPr>
              <w:t xml:space="preserve"> a/</w:t>
            </w:r>
          </w:p>
        </w:tc>
        <w:tc>
          <w:tcPr>
            <w:tcW w:w="920"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66A3B557" w14:textId="77777777"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Número</w:t>
            </w:r>
            <w:proofErr w:type="spellEnd"/>
            <w:r w:rsidRPr="00296E53">
              <w:rPr>
                <w:rFonts w:ascii="Century Gothic" w:eastAsia="Times New Roman" w:hAnsi="Century Gothic" w:cs="Calibri"/>
                <w:color w:val="FFFFFF"/>
                <w:sz w:val="17"/>
                <w:szCs w:val="17"/>
                <w:lang w:val="en-US"/>
              </w:rPr>
              <w:t xml:space="preserve"> de Casos </w:t>
            </w:r>
            <w:proofErr w:type="spellStart"/>
            <w:r w:rsidRPr="00296E53">
              <w:rPr>
                <w:rFonts w:ascii="Century Gothic" w:eastAsia="Times New Roman" w:hAnsi="Century Gothic" w:cs="Calibri"/>
                <w:color w:val="FFFFFF"/>
                <w:sz w:val="17"/>
                <w:szCs w:val="17"/>
                <w:lang w:val="en-US"/>
              </w:rPr>
              <w:t>Totales</w:t>
            </w:r>
            <w:proofErr w:type="spellEnd"/>
          </w:p>
        </w:tc>
        <w:tc>
          <w:tcPr>
            <w:tcW w:w="900" w:type="dxa"/>
            <w:tcBorders>
              <w:top w:val="nil"/>
              <w:left w:val="nil"/>
              <w:bottom w:val="nil"/>
              <w:right w:val="single" w:sz="8" w:space="0" w:color="AEAAAA"/>
            </w:tcBorders>
            <w:shd w:val="clear" w:color="000000" w:fill="FFFFFF"/>
            <w:vAlign w:val="center"/>
            <w:hideMark/>
          </w:tcPr>
          <w:p w14:paraId="3170AE5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Alta</w:t>
            </w:r>
          </w:p>
        </w:tc>
        <w:tc>
          <w:tcPr>
            <w:tcW w:w="960"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4ADCEA04" w14:textId="55D757B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Moderada</w:t>
            </w:r>
            <w:proofErr w:type="spellEnd"/>
            <w:r w:rsidRPr="00296E53">
              <w:rPr>
                <w:rFonts w:ascii="Century Gothic" w:eastAsia="Times New Roman" w:hAnsi="Century Gothic" w:cs="Calibri"/>
                <w:color w:val="000000"/>
                <w:sz w:val="17"/>
                <w:szCs w:val="17"/>
                <w:lang w:val="en-US"/>
              </w:rPr>
              <w:t xml:space="preserve"> [20-30)</w:t>
            </w:r>
            <w:r w:rsidRPr="00296E53">
              <w:rPr>
                <w:rFonts w:ascii="Century Gothic" w:eastAsia="Times New Roman" w:hAnsi="Century Gothic" w:cs="Calibri"/>
                <w:color w:val="000000"/>
                <w:sz w:val="17"/>
                <w:szCs w:val="17"/>
                <w:vertAlign w:val="superscript"/>
                <w:lang w:val="en-US"/>
              </w:rPr>
              <w:t xml:space="preserve"> a/</w:t>
            </w:r>
          </w:p>
        </w:tc>
        <w:tc>
          <w:tcPr>
            <w:tcW w:w="620"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180A6DF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Baja &gt;=30</w:t>
            </w:r>
            <w:r w:rsidRPr="00296E53">
              <w:rPr>
                <w:rFonts w:ascii="Century Gothic" w:eastAsia="Times New Roman" w:hAnsi="Century Gothic" w:cs="Calibri"/>
                <w:color w:val="000000"/>
                <w:sz w:val="17"/>
                <w:szCs w:val="17"/>
                <w:vertAlign w:val="superscript"/>
                <w:lang w:val="en-US"/>
              </w:rPr>
              <w:t xml:space="preserve"> a/</w:t>
            </w:r>
          </w:p>
        </w:tc>
        <w:tc>
          <w:tcPr>
            <w:tcW w:w="920"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6328DC97" w14:textId="77777777"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Número</w:t>
            </w:r>
            <w:proofErr w:type="spellEnd"/>
            <w:r w:rsidRPr="00296E53">
              <w:rPr>
                <w:rFonts w:ascii="Century Gothic" w:eastAsia="Times New Roman" w:hAnsi="Century Gothic" w:cs="Calibri"/>
                <w:color w:val="FFFFFF"/>
                <w:sz w:val="17"/>
                <w:szCs w:val="17"/>
                <w:lang w:val="en-US"/>
              </w:rPr>
              <w:t xml:space="preserve"> de Casos </w:t>
            </w:r>
            <w:proofErr w:type="spellStart"/>
            <w:r w:rsidRPr="00296E53">
              <w:rPr>
                <w:rFonts w:ascii="Century Gothic" w:eastAsia="Times New Roman" w:hAnsi="Century Gothic" w:cs="Calibri"/>
                <w:color w:val="FFFFFF"/>
                <w:sz w:val="17"/>
                <w:szCs w:val="17"/>
                <w:lang w:val="en-US"/>
              </w:rPr>
              <w:t>Totales</w:t>
            </w:r>
            <w:proofErr w:type="spellEnd"/>
          </w:p>
        </w:tc>
        <w:tc>
          <w:tcPr>
            <w:tcW w:w="900" w:type="dxa"/>
            <w:tcBorders>
              <w:top w:val="nil"/>
              <w:left w:val="nil"/>
              <w:bottom w:val="nil"/>
              <w:right w:val="single" w:sz="8" w:space="0" w:color="AEAAAA"/>
            </w:tcBorders>
            <w:shd w:val="clear" w:color="000000" w:fill="FFFFFF"/>
            <w:vAlign w:val="center"/>
            <w:hideMark/>
          </w:tcPr>
          <w:p w14:paraId="31A37A7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Alta</w:t>
            </w:r>
          </w:p>
        </w:tc>
        <w:tc>
          <w:tcPr>
            <w:tcW w:w="960"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679E6A31" w14:textId="153CEDB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Moderada</w:t>
            </w:r>
            <w:proofErr w:type="spellEnd"/>
            <w:r w:rsidRPr="00296E53">
              <w:rPr>
                <w:rFonts w:ascii="Century Gothic" w:eastAsia="Times New Roman" w:hAnsi="Century Gothic" w:cs="Calibri"/>
                <w:color w:val="000000"/>
                <w:sz w:val="17"/>
                <w:szCs w:val="17"/>
                <w:lang w:val="en-US"/>
              </w:rPr>
              <w:t xml:space="preserve"> [20-30)</w:t>
            </w:r>
            <w:r w:rsidRPr="00296E53">
              <w:rPr>
                <w:rFonts w:ascii="Century Gothic" w:eastAsia="Times New Roman" w:hAnsi="Century Gothic" w:cs="Calibri"/>
                <w:color w:val="000000"/>
                <w:sz w:val="17"/>
                <w:szCs w:val="17"/>
                <w:vertAlign w:val="superscript"/>
                <w:lang w:val="en-US"/>
              </w:rPr>
              <w:t xml:space="preserve"> a/</w:t>
            </w:r>
          </w:p>
        </w:tc>
        <w:tc>
          <w:tcPr>
            <w:tcW w:w="620"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435CCBC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Baja &gt;=30</w:t>
            </w:r>
            <w:r w:rsidRPr="00296E53">
              <w:rPr>
                <w:rFonts w:ascii="Century Gothic" w:eastAsia="Times New Roman" w:hAnsi="Century Gothic" w:cs="Calibri"/>
                <w:color w:val="000000"/>
                <w:sz w:val="17"/>
                <w:szCs w:val="17"/>
                <w:vertAlign w:val="superscript"/>
                <w:lang w:val="en-US"/>
              </w:rPr>
              <w:t xml:space="preserve"> a/</w:t>
            </w:r>
          </w:p>
        </w:tc>
      </w:tr>
      <w:tr w:rsidR="008F5F4D" w:rsidRPr="00296E53" w14:paraId="387B9FE8" w14:textId="77777777" w:rsidTr="00A72C60">
        <w:trPr>
          <w:trHeight w:val="510"/>
          <w:jc w:val="center"/>
        </w:trPr>
        <w:tc>
          <w:tcPr>
            <w:tcW w:w="880" w:type="dxa"/>
            <w:vMerge/>
            <w:tcBorders>
              <w:top w:val="single" w:sz="8" w:space="0" w:color="AEAAAA"/>
              <w:left w:val="single" w:sz="8" w:space="0" w:color="AEAAAA"/>
              <w:bottom w:val="single" w:sz="8" w:space="0" w:color="0F243E"/>
              <w:right w:val="single" w:sz="8" w:space="0" w:color="AEAAAA"/>
            </w:tcBorders>
            <w:vAlign w:val="center"/>
            <w:hideMark/>
          </w:tcPr>
          <w:p w14:paraId="1A2ADD70"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1140" w:type="dxa"/>
            <w:vMerge/>
            <w:tcBorders>
              <w:top w:val="single" w:sz="8" w:space="0" w:color="AEAAAA"/>
              <w:left w:val="single" w:sz="8" w:space="0" w:color="AEAAAA"/>
              <w:bottom w:val="single" w:sz="8" w:space="0" w:color="0F243E"/>
              <w:right w:val="single" w:sz="8" w:space="0" w:color="AEAAAA"/>
            </w:tcBorders>
            <w:vAlign w:val="center"/>
            <w:hideMark/>
          </w:tcPr>
          <w:p w14:paraId="797DBF17"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1260" w:type="dxa"/>
            <w:vMerge/>
            <w:tcBorders>
              <w:top w:val="single" w:sz="8" w:space="0" w:color="AEAAAA"/>
              <w:left w:val="single" w:sz="8" w:space="0" w:color="AEAAAA"/>
              <w:bottom w:val="single" w:sz="8" w:space="0" w:color="0F243E"/>
              <w:right w:val="single" w:sz="8" w:space="0" w:color="AEAAAA"/>
            </w:tcBorders>
            <w:vAlign w:val="center"/>
            <w:hideMark/>
          </w:tcPr>
          <w:p w14:paraId="6818D867"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920" w:type="dxa"/>
            <w:vMerge/>
            <w:tcBorders>
              <w:top w:val="nil"/>
              <w:left w:val="single" w:sz="8" w:space="0" w:color="AEAAAA"/>
              <w:bottom w:val="single" w:sz="8" w:space="0" w:color="0F243E"/>
              <w:right w:val="single" w:sz="8" w:space="0" w:color="AEAAAA"/>
            </w:tcBorders>
            <w:vAlign w:val="center"/>
            <w:hideMark/>
          </w:tcPr>
          <w:p w14:paraId="1C32DBC9"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900" w:type="dxa"/>
            <w:tcBorders>
              <w:top w:val="nil"/>
              <w:left w:val="nil"/>
              <w:bottom w:val="single" w:sz="8" w:space="0" w:color="0F243E"/>
              <w:right w:val="single" w:sz="8" w:space="0" w:color="AEAAAA"/>
            </w:tcBorders>
            <w:shd w:val="clear" w:color="auto" w:fill="auto"/>
            <w:vAlign w:val="center"/>
            <w:hideMark/>
          </w:tcPr>
          <w:p w14:paraId="662664DD" w14:textId="75BA2AA5"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[0-20)</w:t>
            </w:r>
            <w:r w:rsidRPr="00296E53">
              <w:rPr>
                <w:rFonts w:ascii="Century Gothic" w:eastAsia="Times New Roman" w:hAnsi="Century Gothic" w:cs="Calibri"/>
                <w:color w:val="000000"/>
                <w:sz w:val="17"/>
                <w:szCs w:val="17"/>
                <w:vertAlign w:val="superscript"/>
                <w:lang w:val="en-US"/>
              </w:rPr>
              <w:t xml:space="preserve"> a/</w:t>
            </w:r>
          </w:p>
        </w:tc>
        <w:tc>
          <w:tcPr>
            <w:tcW w:w="960" w:type="dxa"/>
            <w:vMerge/>
            <w:tcBorders>
              <w:top w:val="nil"/>
              <w:left w:val="single" w:sz="8" w:space="0" w:color="AEAAAA"/>
              <w:bottom w:val="single" w:sz="8" w:space="0" w:color="0F243E"/>
              <w:right w:val="single" w:sz="8" w:space="0" w:color="AEAAAA"/>
            </w:tcBorders>
            <w:vAlign w:val="center"/>
            <w:hideMark/>
          </w:tcPr>
          <w:p w14:paraId="69F870F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
        </w:tc>
        <w:tc>
          <w:tcPr>
            <w:tcW w:w="620" w:type="dxa"/>
            <w:vMerge/>
            <w:tcBorders>
              <w:top w:val="nil"/>
              <w:left w:val="single" w:sz="8" w:space="0" w:color="AEAAAA"/>
              <w:bottom w:val="single" w:sz="8" w:space="0" w:color="0F243E"/>
              <w:right w:val="single" w:sz="8" w:space="0" w:color="AEAAAA"/>
            </w:tcBorders>
            <w:vAlign w:val="center"/>
            <w:hideMark/>
          </w:tcPr>
          <w:p w14:paraId="7B1379AA"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
        </w:tc>
        <w:tc>
          <w:tcPr>
            <w:tcW w:w="920" w:type="dxa"/>
            <w:vMerge/>
            <w:tcBorders>
              <w:top w:val="nil"/>
              <w:left w:val="single" w:sz="8" w:space="0" w:color="AEAAAA"/>
              <w:bottom w:val="single" w:sz="8" w:space="0" w:color="0F243E"/>
              <w:right w:val="single" w:sz="8" w:space="0" w:color="AEAAAA"/>
            </w:tcBorders>
            <w:vAlign w:val="center"/>
            <w:hideMark/>
          </w:tcPr>
          <w:p w14:paraId="352F7435"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900" w:type="dxa"/>
            <w:tcBorders>
              <w:top w:val="nil"/>
              <w:left w:val="nil"/>
              <w:bottom w:val="single" w:sz="8" w:space="0" w:color="0F243E"/>
              <w:right w:val="single" w:sz="8" w:space="0" w:color="AEAAAA"/>
            </w:tcBorders>
            <w:shd w:val="clear" w:color="000000" w:fill="FFFFFF"/>
            <w:vAlign w:val="center"/>
            <w:hideMark/>
          </w:tcPr>
          <w:p w14:paraId="7889DC0F" w14:textId="17C7484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[0-20)</w:t>
            </w:r>
            <w:r w:rsidRPr="00296E53">
              <w:rPr>
                <w:rFonts w:ascii="Century Gothic" w:eastAsia="Times New Roman" w:hAnsi="Century Gothic" w:cs="Calibri"/>
                <w:color w:val="000000"/>
                <w:sz w:val="17"/>
                <w:szCs w:val="17"/>
                <w:vertAlign w:val="superscript"/>
                <w:lang w:val="en-US"/>
              </w:rPr>
              <w:t xml:space="preserve"> a/</w:t>
            </w:r>
          </w:p>
        </w:tc>
        <w:tc>
          <w:tcPr>
            <w:tcW w:w="960" w:type="dxa"/>
            <w:vMerge/>
            <w:tcBorders>
              <w:top w:val="nil"/>
              <w:left w:val="single" w:sz="8" w:space="0" w:color="AEAAAA"/>
              <w:bottom w:val="single" w:sz="8" w:space="0" w:color="0F243E"/>
              <w:right w:val="single" w:sz="8" w:space="0" w:color="AEAAAA"/>
            </w:tcBorders>
            <w:vAlign w:val="center"/>
            <w:hideMark/>
          </w:tcPr>
          <w:p w14:paraId="5BCC1E3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
        </w:tc>
        <w:tc>
          <w:tcPr>
            <w:tcW w:w="620" w:type="dxa"/>
            <w:vMerge/>
            <w:tcBorders>
              <w:top w:val="nil"/>
              <w:left w:val="single" w:sz="8" w:space="0" w:color="AEAAAA"/>
              <w:bottom w:val="single" w:sz="8" w:space="0" w:color="0F243E"/>
              <w:right w:val="single" w:sz="8" w:space="0" w:color="AEAAAA"/>
            </w:tcBorders>
            <w:vAlign w:val="center"/>
            <w:hideMark/>
          </w:tcPr>
          <w:p w14:paraId="40B0EE7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
        </w:tc>
        <w:tc>
          <w:tcPr>
            <w:tcW w:w="920" w:type="dxa"/>
            <w:vMerge/>
            <w:tcBorders>
              <w:top w:val="nil"/>
              <w:left w:val="single" w:sz="8" w:space="0" w:color="AEAAAA"/>
              <w:bottom w:val="single" w:sz="8" w:space="0" w:color="0F243E"/>
              <w:right w:val="single" w:sz="8" w:space="0" w:color="AEAAAA"/>
            </w:tcBorders>
            <w:vAlign w:val="center"/>
            <w:hideMark/>
          </w:tcPr>
          <w:p w14:paraId="5EBA1391"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900" w:type="dxa"/>
            <w:tcBorders>
              <w:top w:val="nil"/>
              <w:left w:val="nil"/>
              <w:bottom w:val="single" w:sz="8" w:space="0" w:color="0F243E"/>
              <w:right w:val="single" w:sz="8" w:space="0" w:color="AEAAAA"/>
            </w:tcBorders>
            <w:shd w:val="clear" w:color="000000" w:fill="FFFFFF"/>
            <w:vAlign w:val="center"/>
            <w:hideMark/>
          </w:tcPr>
          <w:p w14:paraId="238D7992" w14:textId="29AF7BD1"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[0-20)</w:t>
            </w:r>
            <w:r w:rsidRPr="00296E53">
              <w:rPr>
                <w:rFonts w:ascii="Century Gothic" w:eastAsia="Times New Roman" w:hAnsi="Century Gothic" w:cs="Calibri"/>
                <w:color w:val="000000"/>
                <w:sz w:val="17"/>
                <w:szCs w:val="17"/>
                <w:vertAlign w:val="superscript"/>
                <w:lang w:val="en-US"/>
              </w:rPr>
              <w:t xml:space="preserve"> a/</w:t>
            </w:r>
          </w:p>
        </w:tc>
        <w:tc>
          <w:tcPr>
            <w:tcW w:w="960" w:type="dxa"/>
            <w:vMerge/>
            <w:tcBorders>
              <w:top w:val="nil"/>
              <w:left w:val="single" w:sz="8" w:space="0" w:color="AEAAAA"/>
              <w:bottom w:val="single" w:sz="8" w:space="0" w:color="0F243E"/>
              <w:right w:val="single" w:sz="8" w:space="0" w:color="AEAAAA"/>
            </w:tcBorders>
            <w:vAlign w:val="center"/>
            <w:hideMark/>
          </w:tcPr>
          <w:p w14:paraId="057D8BF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
        </w:tc>
        <w:tc>
          <w:tcPr>
            <w:tcW w:w="620" w:type="dxa"/>
            <w:vMerge/>
            <w:tcBorders>
              <w:top w:val="nil"/>
              <w:left w:val="single" w:sz="8" w:space="0" w:color="AEAAAA"/>
              <w:bottom w:val="single" w:sz="8" w:space="0" w:color="0F243E"/>
              <w:right w:val="single" w:sz="8" w:space="0" w:color="AEAAAA"/>
            </w:tcBorders>
            <w:vAlign w:val="center"/>
            <w:hideMark/>
          </w:tcPr>
          <w:p w14:paraId="3C703A5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
        </w:tc>
      </w:tr>
      <w:tr w:rsidR="008F5F4D" w:rsidRPr="00296E53" w14:paraId="4237FA1C" w14:textId="77777777" w:rsidTr="00A72C60">
        <w:trPr>
          <w:trHeight w:val="315"/>
          <w:jc w:val="center"/>
        </w:trPr>
        <w:tc>
          <w:tcPr>
            <w:tcW w:w="880" w:type="dxa"/>
            <w:tcBorders>
              <w:top w:val="single" w:sz="8" w:space="0" w:color="0F243E"/>
              <w:left w:val="single" w:sz="8" w:space="0" w:color="0F243E"/>
            </w:tcBorders>
            <w:shd w:val="clear" w:color="000000" w:fill="D0CECE"/>
            <w:noWrap/>
            <w:vAlign w:val="center"/>
            <w:hideMark/>
          </w:tcPr>
          <w:p w14:paraId="79B261D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single" w:sz="8" w:space="0" w:color="0F243E"/>
            </w:tcBorders>
            <w:shd w:val="clear" w:color="000000" w:fill="D0CECE"/>
            <w:noWrap/>
            <w:vAlign w:val="center"/>
            <w:hideMark/>
          </w:tcPr>
          <w:p w14:paraId="4B6172A4"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260" w:type="dxa"/>
            <w:tcBorders>
              <w:top w:val="single" w:sz="8" w:space="0" w:color="0F243E"/>
              <w:right w:val="single" w:sz="8" w:space="0" w:color="0F243E"/>
            </w:tcBorders>
            <w:shd w:val="clear" w:color="000000" w:fill="D0CECE"/>
            <w:noWrap/>
            <w:vAlign w:val="center"/>
            <w:hideMark/>
          </w:tcPr>
          <w:p w14:paraId="7477D41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EAC</w:t>
            </w:r>
          </w:p>
        </w:tc>
        <w:tc>
          <w:tcPr>
            <w:tcW w:w="920" w:type="dxa"/>
            <w:tcBorders>
              <w:top w:val="single" w:sz="8" w:space="0" w:color="0F243E"/>
              <w:left w:val="single" w:sz="8" w:space="0" w:color="0F243E"/>
            </w:tcBorders>
            <w:shd w:val="clear" w:color="000000" w:fill="D0CECE"/>
            <w:noWrap/>
            <w:vAlign w:val="center"/>
            <w:hideMark/>
          </w:tcPr>
          <w:p w14:paraId="34117B3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40</w:t>
            </w:r>
          </w:p>
        </w:tc>
        <w:tc>
          <w:tcPr>
            <w:tcW w:w="900" w:type="dxa"/>
            <w:tcBorders>
              <w:top w:val="single" w:sz="8" w:space="0" w:color="0F243E"/>
            </w:tcBorders>
            <w:shd w:val="clear" w:color="000000" w:fill="D0CECE"/>
            <w:noWrap/>
            <w:vAlign w:val="center"/>
            <w:hideMark/>
          </w:tcPr>
          <w:p w14:paraId="1DB17BD9" w14:textId="708E572C"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single" w:sz="8" w:space="0" w:color="0F243E"/>
            </w:tcBorders>
            <w:shd w:val="clear" w:color="000000" w:fill="D0CECE"/>
            <w:noWrap/>
            <w:vAlign w:val="center"/>
            <w:hideMark/>
          </w:tcPr>
          <w:p w14:paraId="3CE8FF8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single" w:sz="8" w:space="0" w:color="0F243E"/>
              <w:right w:val="single" w:sz="8" w:space="0" w:color="0F243E"/>
            </w:tcBorders>
            <w:shd w:val="clear" w:color="000000" w:fill="D0CECE"/>
            <w:noWrap/>
            <w:vAlign w:val="center"/>
            <w:hideMark/>
          </w:tcPr>
          <w:p w14:paraId="519F099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single" w:sz="8" w:space="0" w:color="0F243E"/>
              <w:left w:val="single" w:sz="8" w:space="0" w:color="0F243E"/>
            </w:tcBorders>
            <w:shd w:val="clear" w:color="000000" w:fill="D0CECE"/>
            <w:vAlign w:val="center"/>
            <w:hideMark/>
          </w:tcPr>
          <w:p w14:paraId="5D401795"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44</w:t>
            </w:r>
          </w:p>
        </w:tc>
        <w:tc>
          <w:tcPr>
            <w:tcW w:w="900" w:type="dxa"/>
            <w:tcBorders>
              <w:top w:val="single" w:sz="8" w:space="0" w:color="0F243E"/>
            </w:tcBorders>
            <w:shd w:val="clear" w:color="000000" w:fill="D0CECE"/>
            <w:vAlign w:val="center"/>
            <w:hideMark/>
          </w:tcPr>
          <w:p w14:paraId="7ED5A9A2" w14:textId="56C68DA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single" w:sz="8" w:space="0" w:color="0F243E"/>
            </w:tcBorders>
            <w:shd w:val="clear" w:color="000000" w:fill="D0CECE"/>
            <w:vAlign w:val="center"/>
            <w:hideMark/>
          </w:tcPr>
          <w:p w14:paraId="65D9AB61"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single" w:sz="8" w:space="0" w:color="0F243E"/>
              <w:right w:val="single" w:sz="8" w:space="0" w:color="0F243E"/>
            </w:tcBorders>
            <w:shd w:val="clear" w:color="000000" w:fill="D0CECE"/>
            <w:vAlign w:val="center"/>
            <w:hideMark/>
          </w:tcPr>
          <w:p w14:paraId="6A90881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single" w:sz="8" w:space="0" w:color="0F243E"/>
              <w:left w:val="single" w:sz="8" w:space="0" w:color="0F243E"/>
            </w:tcBorders>
            <w:shd w:val="clear" w:color="000000" w:fill="D0CECE"/>
            <w:vAlign w:val="center"/>
            <w:hideMark/>
          </w:tcPr>
          <w:p w14:paraId="45C1009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44</w:t>
            </w:r>
          </w:p>
        </w:tc>
        <w:tc>
          <w:tcPr>
            <w:tcW w:w="900" w:type="dxa"/>
            <w:tcBorders>
              <w:top w:val="single" w:sz="8" w:space="0" w:color="0F243E"/>
            </w:tcBorders>
            <w:shd w:val="clear" w:color="000000" w:fill="D0CECE"/>
            <w:vAlign w:val="center"/>
            <w:hideMark/>
          </w:tcPr>
          <w:p w14:paraId="184089D5" w14:textId="4EA2734D"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93</w:t>
            </w:r>
            <w:r w:rsidR="00CE1528" w:rsidRPr="00296E53">
              <w:rPr>
                <w:rFonts w:ascii="Century Gothic" w:eastAsia="Times New Roman" w:hAnsi="Century Gothic" w:cs="Calibri"/>
                <w:color w:val="000000"/>
                <w:sz w:val="17"/>
                <w:szCs w:val="17"/>
                <w:lang w:val="en-US"/>
              </w:rPr>
              <w:t>%</w:t>
            </w:r>
          </w:p>
        </w:tc>
        <w:tc>
          <w:tcPr>
            <w:tcW w:w="960" w:type="dxa"/>
            <w:tcBorders>
              <w:top w:val="single" w:sz="8" w:space="0" w:color="0F243E"/>
            </w:tcBorders>
            <w:shd w:val="clear" w:color="000000" w:fill="D0CECE"/>
            <w:vAlign w:val="center"/>
            <w:hideMark/>
          </w:tcPr>
          <w:p w14:paraId="7EF47635"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single" w:sz="8" w:space="0" w:color="0F243E"/>
              <w:right w:val="single" w:sz="8" w:space="0" w:color="0F243E"/>
            </w:tcBorders>
            <w:shd w:val="clear" w:color="000000" w:fill="D0CECE"/>
            <w:vAlign w:val="center"/>
            <w:hideMark/>
          </w:tcPr>
          <w:p w14:paraId="0367DA8D" w14:textId="7EA22491"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r w:rsidR="00CE1528" w:rsidRPr="00296E53">
              <w:rPr>
                <w:rFonts w:ascii="Century Gothic" w:eastAsia="Times New Roman" w:hAnsi="Century Gothic" w:cs="Calibri"/>
                <w:color w:val="000000"/>
                <w:sz w:val="17"/>
                <w:szCs w:val="17"/>
                <w:lang w:val="en-US"/>
              </w:rPr>
              <w:t>%</w:t>
            </w:r>
          </w:p>
        </w:tc>
      </w:tr>
      <w:tr w:rsidR="008F5F4D" w:rsidRPr="00296E53" w14:paraId="14405A22" w14:textId="77777777" w:rsidTr="00A72C60">
        <w:trPr>
          <w:trHeight w:val="315"/>
          <w:jc w:val="center"/>
        </w:trPr>
        <w:tc>
          <w:tcPr>
            <w:tcW w:w="880" w:type="dxa"/>
            <w:tcBorders>
              <w:top w:val="nil"/>
              <w:left w:val="single" w:sz="8" w:space="0" w:color="0F243E"/>
            </w:tcBorders>
            <w:shd w:val="clear" w:color="auto" w:fill="auto"/>
            <w:noWrap/>
            <w:vAlign w:val="center"/>
            <w:hideMark/>
          </w:tcPr>
          <w:p w14:paraId="7882E86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511B78C9"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260" w:type="dxa"/>
            <w:tcBorders>
              <w:top w:val="nil"/>
              <w:right w:val="single" w:sz="8" w:space="0" w:color="0F243E"/>
            </w:tcBorders>
            <w:shd w:val="clear" w:color="auto" w:fill="auto"/>
            <w:noWrap/>
            <w:vAlign w:val="center"/>
            <w:hideMark/>
          </w:tcPr>
          <w:p w14:paraId="25F5931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EAEC</w:t>
            </w:r>
          </w:p>
        </w:tc>
        <w:tc>
          <w:tcPr>
            <w:tcW w:w="920" w:type="dxa"/>
            <w:tcBorders>
              <w:top w:val="nil"/>
              <w:left w:val="single" w:sz="8" w:space="0" w:color="0F243E"/>
            </w:tcBorders>
            <w:shd w:val="clear" w:color="auto" w:fill="auto"/>
            <w:noWrap/>
            <w:vAlign w:val="center"/>
            <w:hideMark/>
          </w:tcPr>
          <w:p w14:paraId="591955B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72</w:t>
            </w:r>
          </w:p>
        </w:tc>
        <w:tc>
          <w:tcPr>
            <w:tcW w:w="900" w:type="dxa"/>
            <w:tcBorders>
              <w:top w:val="nil"/>
            </w:tcBorders>
            <w:shd w:val="clear" w:color="auto" w:fill="auto"/>
            <w:noWrap/>
            <w:vAlign w:val="center"/>
            <w:hideMark/>
          </w:tcPr>
          <w:p w14:paraId="3BFA1E54" w14:textId="1FB3179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056A55F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noWrap/>
            <w:vAlign w:val="center"/>
            <w:hideMark/>
          </w:tcPr>
          <w:p w14:paraId="5B715360"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259877DF"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72</w:t>
            </w:r>
          </w:p>
        </w:tc>
        <w:tc>
          <w:tcPr>
            <w:tcW w:w="900" w:type="dxa"/>
            <w:tcBorders>
              <w:top w:val="nil"/>
            </w:tcBorders>
            <w:shd w:val="clear" w:color="auto" w:fill="auto"/>
            <w:vAlign w:val="center"/>
            <w:hideMark/>
          </w:tcPr>
          <w:p w14:paraId="653B725D" w14:textId="1A35167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349F372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5B136CB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133EA65D" w14:textId="7194F4C6"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w:t>
            </w:r>
            <w:r w:rsidR="00017207">
              <w:rPr>
                <w:rFonts w:ascii="Century Gothic" w:eastAsia="Times New Roman" w:hAnsi="Century Gothic" w:cs="Calibri"/>
                <w:color w:val="000000"/>
                <w:sz w:val="17"/>
                <w:szCs w:val="17"/>
                <w:lang w:val="en-US"/>
              </w:rPr>
              <w:t>72</w:t>
            </w:r>
          </w:p>
        </w:tc>
        <w:tc>
          <w:tcPr>
            <w:tcW w:w="900" w:type="dxa"/>
            <w:tcBorders>
              <w:top w:val="nil"/>
            </w:tcBorders>
            <w:shd w:val="clear" w:color="auto" w:fill="auto"/>
            <w:vAlign w:val="center"/>
            <w:hideMark/>
          </w:tcPr>
          <w:p w14:paraId="6580F741" w14:textId="492E38F9"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1F9A5EAB" w14:textId="1ADBD5B4"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002E88BD"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40FB1578"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03CE88E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25677AEB"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260" w:type="dxa"/>
            <w:tcBorders>
              <w:top w:val="nil"/>
              <w:right w:val="single" w:sz="8" w:space="0" w:color="0F243E"/>
            </w:tcBorders>
            <w:shd w:val="clear" w:color="000000" w:fill="D0CECE"/>
            <w:noWrap/>
            <w:vAlign w:val="center"/>
            <w:hideMark/>
          </w:tcPr>
          <w:p w14:paraId="0DE3435A"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EAIM</w:t>
            </w:r>
          </w:p>
        </w:tc>
        <w:tc>
          <w:tcPr>
            <w:tcW w:w="920" w:type="dxa"/>
            <w:tcBorders>
              <w:top w:val="nil"/>
              <w:left w:val="single" w:sz="8" w:space="0" w:color="0F243E"/>
            </w:tcBorders>
            <w:shd w:val="clear" w:color="000000" w:fill="D0CECE"/>
            <w:noWrap/>
            <w:vAlign w:val="center"/>
            <w:hideMark/>
          </w:tcPr>
          <w:p w14:paraId="629B7F4D"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w:t>
            </w:r>
          </w:p>
        </w:tc>
        <w:tc>
          <w:tcPr>
            <w:tcW w:w="900" w:type="dxa"/>
            <w:tcBorders>
              <w:top w:val="nil"/>
            </w:tcBorders>
            <w:shd w:val="clear" w:color="000000" w:fill="D0CECE"/>
            <w:noWrap/>
            <w:vAlign w:val="center"/>
            <w:hideMark/>
          </w:tcPr>
          <w:p w14:paraId="026FA23D" w14:textId="349DB9C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noWrap/>
            <w:vAlign w:val="center"/>
            <w:hideMark/>
          </w:tcPr>
          <w:p w14:paraId="0FAFBBE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noWrap/>
            <w:vAlign w:val="center"/>
            <w:hideMark/>
          </w:tcPr>
          <w:p w14:paraId="63C85A2B"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18381EE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w:t>
            </w:r>
          </w:p>
        </w:tc>
        <w:tc>
          <w:tcPr>
            <w:tcW w:w="900" w:type="dxa"/>
            <w:tcBorders>
              <w:top w:val="nil"/>
            </w:tcBorders>
            <w:shd w:val="clear" w:color="000000" w:fill="D0CECE"/>
            <w:vAlign w:val="center"/>
            <w:hideMark/>
          </w:tcPr>
          <w:p w14:paraId="3C056FDC" w14:textId="01AA8734"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37A127C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3C7F195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72FBEC9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w:t>
            </w:r>
          </w:p>
        </w:tc>
        <w:tc>
          <w:tcPr>
            <w:tcW w:w="900" w:type="dxa"/>
            <w:tcBorders>
              <w:top w:val="nil"/>
            </w:tcBorders>
            <w:shd w:val="clear" w:color="000000" w:fill="D0CECE"/>
            <w:vAlign w:val="center"/>
            <w:hideMark/>
          </w:tcPr>
          <w:p w14:paraId="45B0D385" w14:textId="0D4C86CC"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2BAF6DA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040EA5CB"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7868040F" w14:textId="77777777" w:rsidTr="00A72C60">
        <w:trPr>
          <w:trHeight w:val="315"/>
          <w:jc w:val="center"/>
        </w:trPr>
        <w:tc>
          <w:tcPr>
            <w:tcW w:w="880" w:type="dxa"/>
            <w:tcBorders>
              <w:top w:val="nil"/>
              <w:left w:val="single" w:sz="8" w:space="0" w:color="0F243E"/>
            </w:tcBorders>
            <w:shd w:val="clear" w:color="auto" w:fill="auto"/>
            <w:noWrap/>
            <w:vAlign w:val="center"/>
            <w:hideMark/>
          </w:tcPr>
          <w:p w14:paraId="7B736353"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14B652FA"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260" w:type="dxa"/>
            <w:tcBorders>
              <w:top w:val="nil"/>
              <w:right w:val="single" w:sz="8" w:space="0" w:color="0F243E"/>
            </w:tcBorders>
            <w:shd w:val="clear" w:color="auto" w:fill="auto"/>
            <w:noWrap/>
            <w:vAlign w:val="center"/>
            <w:hideMark/>
          </w:tcPr>
          <w:p w14:paraId="319A02F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EASPNF</w:t>
            </w:r>
          </w:p>
        </w:tc>
        <w:tc>
          <w:tcPr>
            <w:tcW w:w="920" w:type="dxa"/>
            <w:tcBorders>
              <w:top w:val="nil"/>
              <w:left w:val="single" w:sz="8" w:space="0" w:color="0F243E"/>
            </w:tcBorders>
            <w:shd w:val="clear" w:color="auto" w:fill="auto"/>
            <w:noWrap/>
            <w:vAlign w:val="center"/>
            <w:hideMark/>
          </w:tcPr>
          <w:p w14:paraId="7C713FEE"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76</w:t>
            </w:r>
          </w:p>
        </w:tc>
        <w:tc>
          <w:tcPr>
            <w:tcW w:w="900" w:type="dxa"/>
            <w:tcBorders>
              <w:top w:val="nil"/>
            </w:tcBorders>
            <w:shd w:val="clear" w:color="auto" w:fill="auto"/>
            <w:noWrap/>
            <w:vAlign w:val="center"/>
            <w:hideMark/>
          </w:tcPr>
          <w:p w14:paraId="1FAE8B1E" w14:textId="21ECD5AC"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96</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061BC8E8" w14:textId="1B451FE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noWrap/>
            <w:vAlign w:val="center"/>
            <w:hideMark/>
          </w:tcPr>
          <w:p w14:paraId="72F718F0" w14:textId="45E4F9AB"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E1528"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auto" w:fill="auto"/>
            <w:vAlign w:val="center"/>
            <w:hideMark/>
          </w:tcPr>
          <w:p w14:paraId="0C8492E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80</w:t>
            </w:r>
          </w:p>
        </w:tc>
        <w:tc>
          <w:tcPr>
            <w:tcW w:w="900" w:type="dxa"/>
            <w:tcBorders>
              <w:top w:val="nil"/>
            </w:tcBorders>
            <w:shd w:val="clear" w:color="auto" w:fill="auto"/>
            <w:vAlign w:val="center"/>
            <w:hideMark/>
          </w:tcPr>
          <w:p w14:paraId="55051238" w14:textId="0611986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3E98C7CF" w14:textId="534123A2"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0636256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66455B5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80</w:t>
            </w:r>
          </w:p>
        </w:tc>
        <w:tc>
          <w:tcPr>
            <w:tcW w:w="900" w:type="dxa"/>
            <w:tcBorders>
              <w:top w:val="nil"/>
            </w:tcBorders>
            <w:shd w:val="clear" w:color="auto" w:fill="auto"/>
            <w:vAlign w:val="center"/>
            <w:hideMark/>
          </w:tcPr>
          <w:p w14:paraId="0DCD4B82" w14:textId="4BDBE785"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88</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17D6713A" w14:textId="2D61C82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11</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18C27DFD" w14:textId="1B47AB2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E1528" w:rsidRPr="00296E53">
              <w:rPr>
                <w:rFonts w:ascii="Century Gothic" w:eastAsia="Times New Roman" w:hAnsi="Century Gothic" w:cs="Calibri"/>
                <w:color w:val="000000"/>
                <w:sz w:val="17"/>
                <w:szCs w:val="17"/>
                <w:lang w:val="en-US"/>
              </w:rPr>
              <w:t>%</w:t>
            </w:r>
          </w:p>
        </w:tc>
      </w:tr>
      <w:tr w:rsidR="008F5F4D" w:rsidRPr="00296E53" w14:paraId="4C339473"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4970B9A5"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048ED513"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260" w:type="dxa"/>
            <w:tcBorders>
              <w:top w:val="nil"/>
              <w:right w:val="single" w:sz="8" w:space="0" w:color="0F243E"/>
            </w:tcBorders>
            <w:shd w:val="clear" w:color="000000" w:fill="D0CECE"/>
            <w:noWrap/>
            <w:vAlign w:val="center"/>
            <w:hideMark/>
          </w:tcPr>
          <w:p w14:paraId="7690DD1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EAT</w:t>
            </w:r>
          </w:p>
        </w:tc>
        <w:tc>
          <w:tcPr>
            <w:tcW w:w="920" w:type="dxa"/>
            <w:tcBorders>
              <w:top w:val="nil"/>
              <w:left w:val="single" w:sz="8" w:space="0" w:color="0F243E"/>
            </w:tcBorders>
            <w:shd w:val="clear" w:color="000000" w:fill="D0CECE"/>
            <w:noWrap/>
            <w:vAlign w:val="center"/>
            <w:hideMark/>
          </w:tcPr>
          <w:p w14:paraId="2E7FAFF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w:t>
            </w:r>
          </w:p>
        </w:tc>
        <w:tc>
          <w:tcPr>
            <w:tcW w:w="900" w:type="dxa"/>
            <w:tcBorders>
              <w:top w:val="nil"/>
            </w:tcBorders>
            <w:shd w:val="clear" w:color="000000" w:fill="D0CECE"/>
            <w:noWrap/>
            <w:vAlign w:val="center"/>
            <w:hideMark/>
          </w:tcPr>
          <w:p w14:paraId="738EC8D5" w14:textId="15CDDAD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noWrap/>
            <w:vAlign w:val="center"/>
            <w:hideMark/>
          </w:tcPr>
          <w:p w14:paraId="47BB8A5D"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noWrap/>
            <w:vAlign w:val="center"/>
            <w:hideMark/>
          </w:tcPr>
          <w:p w14:paraId="00B7FCB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2D668D50"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w:t>
            </w:r>
          </w:p>
        </w:tc>
        <w:tc>
          <w:tcPr>
            <w:tcW w:w="900" w:type="dxa"/>
            <w:tcBorders>
              <w:top w:val="nil"/>
            </w:tcBorders>
            <w:shd w:val="clear" w:color="000000" w:fill="D0CECE"/>
            <w:vAlign w:val="center"/>
            <w:hideMark/>
          </w:tcPr>
          <w:p w14:paraId="5247FC92" w14:textId="6C1172D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2EB14F75"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63421890"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79B53D1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w:t>
            </w:r>
          </w:p>
        </w:tc>
        <w:tc>
          <w:tcPr>
            <w:tcW w:w="900" w:type="dxa"/>
            <w:tcBorders>
              <w:top w:val="nil"/>
            </w:tcBorders>
            <w:shd w:val="clear" w:color="000000" w:fill="D0CECE"/>
            <w:vAlign w:val="center"/>
            <w:hideMark/>
          </w:tcPr>
          <w:p w14:paraId="38F51044" w14:textId="4E4DC7FC"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2C7DDF0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73E2506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4F707F71" w14:textId="77777777" w:rsidTr="00A72C60">
        <w:trPr>
          <w:trHeight w:val="315"/>
          <w:jc w:val="center"/>
        </w:trPr>
        <w:tc>
          <w:tcPr>
            <w:tcW w:w="880" w:type="dxa"/>
            <w:tcBorders>
              <w:top w:val="nil"/>
              <w:left w:val="single" w:sz="8" w:space="0" w:color="0F243E"/>
            </w:tcBorders>
            <w:shd w:val="clear" w:color="auto" w:fill="auto"/>
            <w:noWrap/>
            <w:vAlign w:val="center"/>
            <w:hideMark/>
          </w:tcPr>
          <w:p w14:paraId="71D2E48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42970130"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auto" w:fill="auto"/>
            <w:noWrap/>
            <w:vAlign w:val="center"/>
            <w:hideMark/>
          </w:tcPr>
          <w:p w14:paraId="361573F7"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EMEC</w:t>
            </w:r>
          </w:p>
        </w:tc>
        <w:tc>
          <w:tcPr>
            <w:tcW w:w="920" w:type="dxa"/>
            <w:tcBorders>
              <w:top w:val="nil"/>
              <w:left w:val="single" w:sz="8" w:space="0" w:color="0F243E"/>
            </w:tcBorders>
            <w:shd w:val="clear" w:color="auto" w:fill="auto"/>
            <w:noWrap/>
            <w:vAlign w:val="center"/>
            <w:hideMark/>
          </w:tcPr>
          <w:p w14:paraId="700EA94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360</w:t>
            </w:r>
          </w:p>
        </w:tc>
        <w:tc>
          <w:tcPr>
            <w:tcW w:w="900" w:type="dxa"/>
            <w:tcBorders>
              <w:top w:val="nil"/>
            </w:tcBorders>
            <w:shd w:val="clear" w:color="auto" w:fill="auto"/>
            <w:noWrap/>
            <w:vAlign w:val="center"/>
            <w:hideMark/>
          </w:tcPr>
          <w:p w14:paraId="7D815E8F" w14:textId="1550214D"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97</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67159CB1" w14:textId="7C4AE36B"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noWrap/>
            <w:vAlign w:val="center"/>
            <w:hideMark/>
          </w:tcPr>
          <w:p w14:paraId="43291F2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1B9DB1E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552</w:t>
            </w:r>
          </w:p>
        </w:tc>
        <w:tc>
          <w:tcPr>
            <w:tcW w:w="900" w:type="dxa"/>
            <w:tcBorders>
              <w:top w:val="nil"/>
            </w:tcBorders>
            <w:shd w:val="clear" w:color="auto" w:fill="auto"/>
            <w:vAlign w:val="center"/>
            <w:hideMark/>
          </w:tcPr>
          <w:p w14:paraId="0BBEB95F" w14:textId="746F08B1"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2EDA2BCF" w14:textId="0500E256"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02CF63D1"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69350491"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528</w:t>
            </w:r>
          </w:p>
        </w:tc>
        <w:tc>
          <w:tcPr>
            <w:tcW w:w="900" w:type="dxa"/>
            <w:tcBorders>
              <w:top w:val="nil"/>
            </w:tcBorders>
            <w:shd w:val="clear" w:color="auto" w:fill="auto"/>
            <w:vAlign w:val="center"/>
            <w:hideMark/>
          </w:tcPr>
          <w:p w14:paraId="31FD1EFF" w14:textId="18FDF341"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569AF1D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113C400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309548EC"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29D5EF6A"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0F4E756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000000" w:fill="D0CECE"/>
            <w:noWrap/>
            <w:vAlign w:val="center"/>
            <w:hideMark/>
          </w:tcPr>
          <w:p w14:paraId="4FFB87C0"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EMIM</w:t>
            </w:r>
          </w:p>
        </w:tc>
        <w:tc>
          <w:tcPr>
            <w:tcW w:w="920" w:type="dxa"/>
            <w:tcBorders>
              <w:top w:val="nil"/>
              <w:left w:val="single" w:sz="8" w:space="0" w:color="0F243E"/>
            </w:tcBorders>
            <w:shd w:val="clear" w:color="000000" w:fill="D0CECE"/>
            <w:noWrap/>
            <w:vAlign w:val="center"/>
            <w:hideMark/>
          </w:tcPr>
          <w:p w14:paraId="7F93B09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36</w:t>
            </w:r>
          </w:p>
        </w:tc>
        <w:tc>
          <w:tcPr>
            <w:tcW w:w="900" w:type="dxa"/>
            <w:tcBorders>
              <w:top w:val="nil"/>
            </w:tcBorders>
            <w:shd w:val="clear" w:color="000000" w:fill="D0CECE"/>
            <w:noWrap/>
            <w:vAlign w:val="center"/>
            <w:hideMark/>
          </w:tcPr>
          <w:p w14:paraId="5FEA2A2E" w14:textId="3E1A423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noWrap/>
            <w:vAlign w:val="center"/>
            <w:hideMark/>
          </w:tcPr>
          <w:p w14:paraId="35610FD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noWrap/>
            <w:vAlign w:val="center"/>
            <w:hideMark/>
          </w:tcPr>
          <w:p w14:paraId="67A9588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66B5764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52</w:t>
            </w:r>
          </w:p>
        </w:tc>
        <w:tc>
          <w:tcPr>
            <w:tcW w:w="900" w:type="dxa"/>
            <w:tcBorders>
              <w:top w:val="nil"/>
            </w:tcBorders>
            <w:shd w:val="clear" w:color="000000" w:fill="D0CECE"/>
            <w:vAlign w:val="center"/>
            <w:hideMark/>
          </w:tcPr>
          <w:p w14:paraId="5A874FB8" w14:textId="62AD6F8D"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140A1C1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62E4547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6C88C58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48</w:t>
            </w:r>
          </w:p>
        </w:tc>
        <w:tc>
          <w:tcPr>
            <w:tcW w:w="900" w:type="dxa"/>
            <w:tcBorders>
              <w:top w:val="nil"/>
            </w:tcBorders>
            <w:shd w:val="clear" w:color="000000" w:fill="D0CECE"/>
            <w:vAlign w:val="center"/>
            <w:hideMark/>
          </w:tcPr>
          <w:p w14:paraId="560E8849" w14:textId="6169BCE2"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068F33D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3EC5428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68807780" w14:textId="77777777" w:rsidTr="00A72C60">
        <w:trPr>
          <w:trHeight w:val="315"/>
          <w:jc w:val="center"/>
        </w:trPr>
        <w:tc>
          <w:tcPr>
            <w:tcW w:w="880" w:type="dxa"/>
            <w:tcBorders>
              <w:top w:val="nil"/>
              <w:left w:val="single" w:sz="8" w:space="0" w:color="0F243E"/>
            </w:tcBorders>
            <w:shd w:val="clear" w:color="auto" w:fill="auto"/>
            <w:noWrap/>
            <w:vAlign w:val="center"/>
            <w:hideMark/>
          </w:tcPr>
          <w:p w14:paraId="6A1B5B73"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36904330"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auto" w:fill="auto"/>
            <w:noWrap/>
            <w:vAlign w:val="center"/>
            <w:hideMark/>
          </w:tcPr>
          <w:p w14:paraId="576E5E4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EMOE COM</w:t>
            </w:r>
          </w:p>
        </w:tc>
        <w:tc>
          <w:tcPr>
            <w:tcW w:w="920" w:type="dxa"/>
            <w:tcBorders>
              <w:top w:val="nil"/>
              <w:left w:val="single" w:sz="8" w:space="0" w:color="0F243E"/>
            </w:tcBorders>
            <w:shd w:val="clear" w:color="auto" w:fill="auto"/>
            <w:noWrap/>
            <w:vAlign w:val="center"/>
            <w:hideMark/>
          </w:tcPr>
          <w:p w14:paraId="4024B65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18</w:t>
            </w:r>
          </w:p>
        </w:tc>
        <w:tc>
          <w:tcPr>
            <w:tcW w:w="900" w:type="dxa"/>
            <w:tcBorders>
              <w:top w:val="nil"/>
            </w:tcBorders>
            <w:shd w:val="clear" w:color="auto" w:fill="auto"/>
            <w:noWrap/>
            <w:vAlign w:val="center"/>
            <w:hideMark/>
          </w:tcPr>
          <w:p w14:paraId="5B73356A" w14:textId="106C1201"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6DD5043D"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noWrap/>
            <w:vAlign w:val="center"/>
            <w:hideMark/>
          </w:tcPr>
          <w:p w14:paraId="2010851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34CF3AD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28</w:t>
            </w:r>
          </w:p>
        </w:tc>
        <w:tc>
          <w:tcPr>
            <w:tcW w:w="900" w:type="dxa"/>
            <w:tcBorders>
              <w:top w:val="nil"/>
            </w:tcBorders>
            <w:shd w:val="clear" w:color="auto" w:fill="auto"/>
            <w:vAlign w:val="center"/>
            <w:hideMark/>
          </w:tcPr>
          <w:p w14:paraId="0D1148BD" w14:textId="329D5ACD"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6B202D1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4C6E883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476BD2E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24</w:t>
            </w:r>
          </w:p>
        </w:tc>
        <w:tc>
          <w:tcPr>
            <w:tcW w:w="900" w:type="dxa"/>
            <w:tcBorders>
              <w:top w:val="nil"/>
            </w:tcBorders>
            <w:shd w:val="clear" w:color="auto" w:fill="auto"/>
            <w:vAlign w:val="center"/>
            <w:hideMark/>
          </w:tcPr>
          <w:p w14:paraId="0E861773" w14:textId="308013C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493E471B"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753AB6B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44DA1711"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23754E6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664E9F23"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000000" w:fill="D0CECE"/>
            <w:noWrap/>
            <w:vAlign w:val="center"/>
            <w:hideMark/>
          </w:tcPr>
          <w:p w14:paraId="713BDEFF"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EMOE CONS</w:t>
            </w:r>
          </w:p>
        </w:tc>
        <w:tc>
          <w:tcPr>
            <w:tcW w:w="920" w:type="dxa"/>
            <w:tcBorders>
              <w:top w:val="nil"/>
              <w:left w:val="single" w:sz="8" w:space="0" w:color="0F243E"/>
            </w:tcBorders>
            <w:shd w:val="clear" w:color="000000" w:fill="D0CECE"/>
            <w:noWrap/>
            <w:vAlign w:val="center"/>
            <w:hideMark/>
          </w:tcPr>
          <w:p w14:paraId="20E6E250"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18</w:t>
            </w:r>
          </w:p>
        </w:tc>
        <w:tc>
          <w:tcPr>
            <w:tcW w:w="900" w:type="dxa"/>
            <w:tcBorders>
              <w:top w:val="nil"/>
            </w:tcBorders>
            <w:shd w:val="clear" w:color="000000" w:fill="D0CECE"/>
            <w:noWrap/>
            <w:vAlign w:val="center"/>
            <w:hideMark/>
          </w:tcPr>
          <w:p w14:paraId="5484CC56" w14:textId="1CFB5CCC"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noWrap/>
            <w:vAlign w:val="center"/>
            <w:hideMark/>
          </w:tcPr>
          <w:p w14:paraId="059FDEB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noWrap/>
            <w:vAlign w:val="center"/>
            <w:hideMark/>
          </w:tcPr>
          <w:p w14:paraId="612F629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71E6852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28</w:t>
            </w:r>
          </w:p>
        </w:tc>
        <w:tc>
          <w:tcPr>
            <w:tcW w:w="900" w:type="dxa"/>
            <w:tcBorders>
              <w:top w:val="nil"/>
            </w:tcBorders>
            <w:shd w:val="clear" w:color="000000" w:fill="D0CECE"/>
            <w:vAlign w:val="center"/>
            <w:hideMark/>
          </w:tcPr>
          <w:p w14:paraId="338F6038" w14:textId="59B1377F"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1E6B149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0D01D34E"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1A1400C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24</w:t>
            </w:r>
          </w:p>
        </w:tc>
        <w:tc>
          <w:tcPr>
            <w:tcW w:w="900" w:type="dxa"/>
            <w:tcBorders>
              <w:top w:val="nil"/>
            </w:tcBorders>
            <w:shd w:val="clear" w:color="000000" w:fill="D0CECE"/>
            <w:vAlign w:val="center"/>
            <w:hideMark/>
          </w:tcPr>
          <w:p w14:paraId="0C6E7091" w14:textId="3C828AEF"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03E12CD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7081F67D"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28B46EBF" w14:textId="77777777" w:rsidTr="00A72C60">
        <w:trPr>
          <w:trHeight w:val="315"/>
          <w:jc w:val="center"/>
        </w:trPr>
        <w:tc>
          <w:tcPr>
            <w:tcW w:w="880" w:type="dxa"/>
            <w:tcBorders>
              <w:top w:val="nil"/>
              <w:left w:val="single" w:sz="8" w:space="0" w:color="0F243E"/>
            </w:tcBorders>
            <w:shd w:val="clear" w:color="auto" w:fill="auto"/>
            <w:noWrap/>
            <w:vAlign w:val="center"/>
            <w:hideMark/>
          </w:tcPr>
          <w:p w14:paraId="7DB3B22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71C761BB"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auto" w:fill="auto"/>
            <w:noWrap/>
            <w:vAlign w:val="center"/>
            <w:hideMark/>
          </w:tcPr>
          <w:p w14:paraId="08FD26AB"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EMOE MAN</w:t>
            </w:r>
          </w:p>
        </w:tc>
        <w:tc>
          <w:tcPr>
            <w:tcW w:w="920" w:type="dxa"/>
            <w:tcBorders>
              <w:top w:val="nil"/>
              <w:left w:val="single" w:sz="8" w:space="0" w:color="0F243E"/>
            </w:tcBorders>
            <w:shd w:val="clear" w:color="auto" w:fill="auto"/>
            <w:noWrap/>
            <w:vAlign w:val="center"/>
            <w:hideMark/>
          </w:tcPr>
          <w:p w14:paraId="72C1189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216</w:t>
            </w:r>
          </w:p>
        </w:tc>
        <w:tc>
          <w:tcPr>
            <w:tcW w:w="900" w:type="dxa"/>
            <w:tcBorders>
              <w:top w:val="nil"/>
            </w:tcBorders>
            <w:shd w:val="clear" w:color="auto" w:fill="auto"/>
            <w:noWrap/>
            <w:vAlign w:val="center"/>
            <w:hideMark/>
          </w:tcPr>
          <w:p w14:paraId="74D9CBC5" w14:textId="7223CCE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85</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626B4045" w14:textId="600378F4"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15</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noWrap/>
            <w:vAlign w:val="center"/>
            <w:hideMark/>
          </w:tcPr>
          <w:p w14:paraId="478D931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1D500AF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336</w:t>
            </w:r>
          </w:p>
        </w:tc>
        <w:tc>
          <w:tcPr>
            <w:tcW w:w="900" w:type="dxa"/>
            <w:tcBorders>
              <w:top w:val="nil"/>
            </w:tcBorders>
            <w:shd w:val="clear" w:color="auto" w:fill="auto"/>
            <w:vAlign w:val="center"/>
            <w:hideMark/>
          </w:tcPr>
          <w:p w14:paraId="22C2192D" w14:textId="7EAAF8D8"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86</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0B4C8C99" w14:textId="0DF7A09D"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13</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12BA745F"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160F0920"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288</w:t>
            </w:r>
          </w:p>
        </w:tc>
        <w:tc>
          <w:tcPr>
            <w:tcW w:w="900" w:type="dxa"/>
            <w:tcBorders>
              <w:top w:val="nil"/>
            </w:tcBorders>
            <w:shd w:val="clear" w:color="auto" w:fill="auto"/>
            <w:vAlign w:val="center"/>
            <w:hideMark/>
          </w:tcPr>
          <w:p w14:paraId="59DDD555" w14:textId="7718D906"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85</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2E4E0D60" w14:textId="277CBE3F"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14</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0363DA25" w14:textId="779B45A2"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E1528" w:rsidRPr="00296E53">
              <w:rPr>
                <w:rFonts w:ascii="Century Gothic" w:eastAsia="Times New Roman" w:hAnsi="Century Gothic" w:cs="Calibri"/>
                <w:color w:val="000000"/>
                <w:sz w:val="17"/>
                <w:szCs w:val="17"/>
                <w:lang w:val="en-US"/>
              </w:rPr>
              <w:t>%</w:t>
            </w:r>
          </w:p>
        </w:tc>
      </w:tr>
      <w:tr w:rsidR="008F5F4D" w:rsidRPr="00296E53" w14:paraId="5BBA75C8"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2D095CCB"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5B39B58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000000" w:fill="D0CECE"/>
            <w:noWrap/>
            <w:vAlign w:val="center"/>
            <w:hideMark/>
          </w:tcPr>
          <w:p w14:paraId="4FF6F24F"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EMOE SER</w:t>
            </w:r>
          </w:p>
        </w:tc>
        <w:tc>
          <w:tcPr>
            <w:tcW w:w="920" w:type="dxa"/>
            <w:tcBorders>
              <w:top w:val="nil"/>
              <w:left w:val="single" w:sz="8" w:space="0" w:color="0F243E"/>
            </w:tcBorders>
            <w:shd w:val="clear" w:color="000000" w:fill="D0CECE"/>
            <w:noWrap/>
            <w:vAlign w:val="center"/>
            <w:hideMark/>
          </w:tcPr>
          <w:p w14:paraId="4FBAA5D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00" w:type="dxa"/>
            <w:tcBorders>
              <w:top w:val="nil"/>
            </w:tcBorders>
            <w:shd w:val="clear" w:color="000000" w:fill="D0CECE"/>
            <w:noWrap/>
            <w:vAlign w:val="center"/>
            <w:hideMark/>
          </w:tcPr>
          <w:p w14:paraId="46797E4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noWrap/>
            <w:vAlign w:val="center"/>
            <w:hideMark/>
          </w:tcPr>
          <w:p w14:paraId="3DEE3AB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000000" w:fill="D0CECE"/>
            <w:noWrap/>
            <w:vAlign w:val="center"/>
            <w:hideMark/>
          </w:tcPr>
          <w:p w14:paraId="774F5EE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000000" w:fill="D0CECE"/>
            <w:vAlign w:val="center"/>
            <w:hideMark/>
          </w:tcPr>
          <w:p w14:paraId="3AF90815"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112</w:t>
            </w:r>
          </w:p>
        </w:tc>
        <w:tc>
          <w:tcPr>
            <w:tcW w:w="900" w:type="dxa"/>
            <w:tcBorders>
              <w:top w:val="nil"/>
            </w:tcBorders>
            <w:shd w:val="clear" w:color="000000" w:fill="D0CECE"/>
            <w:vAlign w:val="center"/>
            <w:hideMark/>
          </w:tcPr>
          <w:p w14:paraId="7EB7D5C8" w14:textId="0019846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96</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6D9156C9" w14:textId="6FD95051"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000000" w:fill="D0CECE"/>
            <w:vAlign w:val="center"/>
            <w:hideMark/>
          </w:tcPr>
          <w:p w14:paraId="7BBB440B"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5A2E50E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168</w:t>
            </w:r>
          </w:p>
        </w:tc>
        <w:tc>
          <w:tcPr>
            <w:tcW w:w="900" w:type="dxa"/>
            <w:tcBorders>
              <w:top w:val="nil"/>
            </w:tcBorders>
            <w:shd w:val="clear" w:color="000000" w:fill="D0CECE"/>
            <w:vAlign w:val="center"/>
            <w:hideMark/>
          </w:tcPr>
          <w:p w14:paraId="3DE2B850" w14:textId="0F4AB218"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92</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3DC59B58" w14:textId="1ACB546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000000" w:fill="D0CECE"/>
            <w:vAlign w:val="center"/>
            <w:hideMark/>
          </w:tcPr>
          <w:p w14:paraId="60E5675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1A36CE0B" w14:textId="77777777" w:rsidTr="00A72C60">
        <w:trPr>
          <w:trHeight w:val="315"/>
          <w:jc w:val="center"/>
        </w:trPr>
        <w:tc>
          <w:tcPr>
            <w:tcW w:w="880" w:type="dxa"/>
            <w:tcBorders>
              <w:top w:val="nil"/>
              <w:left w:val="single" w:sz="8" w:space="0" w:color="0F243E"/>
            </w:tcBorders>
            <w:shd w:val="clear" w:color="auto" w:fill="auto"/>
            <w:noWrap/>
            <w:vAlign w:val="center"/>
            <w:hideMark/>
          </w:tcPr>
          <w:p w14:paraId="1B455931"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4E7B76FB"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auto" w:fill="auto"/>
            <w:noWrap/>
            <w:vAlign w:val="center"/>
            <w:hideMark/>
          </w:tcPr>
          <w:p w14:paraId="71904E47"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EMS</w:t>
            </w:r>
          </w:p>
        </w:tc>
        <w:tc>
          <w:tcPr>
            <w:tcW w:w="920" w:type="dxa"/>
            <w:tcBorders>
              <w:top w:val="nil"/>
              <w:left w:val="single" w:sz="8" w:space="0" w:color="0F243E"/>
            </w:tcBorders>
            <w:shd w:val="clear" w:color="auto" w:fill="auto"/>
            <w:noWrap/>
            <w:vAlign w:val="center"/>
            <w:hideMark/>
          </w:tcPr>
          <w:p w14:paraId="4817E47E"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720</w:t>
            </w:r>
          </w:p>
        </w:tc>
        <w:tc>
          <w:tcPr>
            <w:tcW w:w="900" w:type="dxa"/>
            <w:tcBorders>
              <w:top w:val="nil"/>
            </w:tcBorders>
            <w:shd w:val="clear" w:color="auto" w:fill="auto"/>
            <w:noWrap/>
            <w:vAlign w:val="center"/>
            <w:hideMark/>
          </w:tcPr>
          <w:p w14:paraId="57A5826D" w14:textId="6279C9F5"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83</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03896279" w14:textId="004416DD"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12</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noWrap/>
            <w:vAlign w:val="center"/>
            <w:hideMark/>
          </w:tcPr>
          <w:p w14:paraId="48936B63" w14:textId="4F2DD72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5</w:t>
            </w:r>
            <w:r w:rsidR="00CE1528"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auto" w:fill="auto"/>
            <w:vAlign w:val="center"/>
            <w:hideMark/>
          </w:tcPr>
          <w:p w14:paraId="5A8B8DF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1 072</w:t>
            </w:r>
          </w:p>
        </w:tc>
        <w:tc>
          <w:tcPr>
            <w:tcW w:w="900" w:type="dxa"/>
            <w:tcBorders>
              <w:top w:val="nil"/>
            </w:tcBorders>
            <w:shd w:val="clear" w:color="auto" w:fill="auto"/>
            <w:vAlign w:val="center"/>
            <w:hideMark/>
          </w:tcPr>
          <w:p w14:paraId="36D2A7EE" w14:textId="6DF87EA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89</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4A8135D2" w14:textId="7EEB36D9"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59FA8364" w14:textId="51967C66"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w:t>
            </w:r>
            <w:r w:rsidR="00CE1528"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auto" w:fill="auto"/>
            <w:vAlign w:val="center"/>
            <w:hideMark/>
          </w:tcPr>
          <w:p w14:paraId="7A8F85D1"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1 008</w:t>
            </w:r>
          </w:p>
        </w:tc>
        <w:tc>
          <w:tcPr>
            <w:tcW w:w="900" w:type="dxa"/>
            <w:tcBorders>
              <w:top w:val="nil"/>
            </w:tcBorders>
            <w:shd w:val="clear" w:color="auto" w:fill="auto"/>
            <w:vAlign w:val="center"/>
            <w:hideMark/>
          </w:tcPr>
          <w:p w14:paraId="6F0D91BE" w14:textId="3F9F006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769D18BC" w14:textId="0571094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03CAE81A" w14:textId="5C7C80F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w:t>
            </w:r>
            <w:r w:rsidR="00CE1528" w:rsidRPr="00296E53">
              <w:rPr>
                <w:rFonts w:ascii="Century Gothic" w:eastAsia="Times New Roman" w:hAnsi="Century Gothic" w:cs="Calibri"/>
                <w:color w:val="000000"/>
                <w:sz w:val="17"/>
                <w:szCs w:val="17"/>
                <w:lang w:val="en-US"/>
              </w:rPr>
              <w:t>%</w:t>
            </w:r>
          </w:p>
        </w:tc>
      </w:tr>
      <w:tr w:rsidR="008F5F4D" w:rsidRPr="00296E53" w14:paraId="7F643210"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438B2FFF"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4DBD25B9"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000000" w:fill="D0CECE"/>
            <w:noWrap/>
            <w:vAlign w:val="center"/>
            <w:hideMark/>
          </w:tcPr>
          <w:p w14:paraId="6C5D0D1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ENEC</w:t>
            </w:r>
          </w:p>
        </w:tc>
        <w:tc>
          <w:tcPr>
            <w:tcW w:w="920" w:type="dxa"/>
            <w:tcBorders>
              <w:top w:val="nil"/>
              <w:left w:val="single" w:sz="8" w:space="0" w:color="0F243E"/>
            </w:tcBorders>
            <w:shd w:val="clear" w:color="000000" w:fill="D0CECE"/>
            <w:noWrap/>
            <w:vAlign w:val="center"/>
            <w:hideMark/>
          </w:tcPr>
          <w:p w14:paraId="48CCE26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648</w:t>
            </w:r>
          </w:p>
        </w:tc>
        <w:tc>
          <w:tcPr>
            <w:tcW w:w="900" w:type="dxa"/>
            <w:tcBorders>
              <w:top w:val="nil"/>
            </w:tcBorders>
            <w:shd w:val="clear" w:color="000000" w:fill="D0CECE"/>
            <w:noWrap/>
            <w:vAlign w:val="center"/>
            <w:hideMark/>
          </w:tcPr>
          <w:p w14:paraId="7715A323" w14:textId="7545B3D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69</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noWrap/>
            <w:vAlign w:val="center"/>
            <w:hideMark/>
          </w:tcPr>
          <w:p w14:paraId="1420783E" w14:textId="2CA4D0B6"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21</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000000" w:fill="D0CECE"/>
            <w:noWrap/>
            <w:vAlign w:val="center"/>
            <w:hideMark/>
          </w:tcPr>
          <w:p w14:paraId="3CB1A62F" w14:textId="49E7A58A"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w:t>
            </w:r>
            <w:r w:rsidR="00CE1528"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000000" w:fill="D0CECE"/>
            <w:vAlign w:val="center"/>
            <w:hideMark/>
          </w:tcPr>
          <w:p w14:paraId="064133BE"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936</w:t>
            </w:r>
          </w:p>
        </w:tc>
        <w:tc>
          <w:tcPr>
            <w:tcW w:w="900" w:type="dxa"/>
            <w:tcBorders>
              <w:top w:val="nil"/>
            </w:tcBorders>
            <w:shd w:val="clear" w:color="000000" w:fill="D0CECE"/>
            <w:vAlign w:val="center"/>
            <w:hideMark/>
          </w:tcPr>
          <w:p w14:paraId="0E6AAB43" w14:textId="711F27A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75</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2D38D566" w14:textId="20A413C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18</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000000" w:fill="D0CECE"/>
            <w:vAlign w:val="center"/>
            <w:hideMark/>
          </w:tcPr>
          <w:p w14:paraId="785F7C66" w14:textId="152F321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r w:rsidR="00CE1528"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000000" w:fill="D0CECE"/>
            <w:vAlign w:val="center"/>
            <w:hideMark/>
          </w:tcPr>
          <w:p w14:paraId="023446CD"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864</w:t>
            </w:r>
          </w:p>
        </w:tc>
        <w:tc>
          <w:tcPr>
            <w:tcW w:w="900" w:type="dxa"/>
            <w:tcBorders>
              <w:top w:val="nil"/>
            </w:tcBorders>
            <w:shd w:val="clear" w:color="000000" w:fill="D0CECE"/>
            <w:vAlign w:val="center"/>
            <w:hideMark/>
          </w:tcPr>
          <w:p w14:paraId="2A8CCFC3" w14:textId="51DE9C3F"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79</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770B2289" w14:textId="6B543B7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15</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000000" w:fill="D0CECE"/>
            <w:vAlign w:val="center"/>
            <w:hideMark/>
          </w:tcPr>
          <w:p w14:paraId="0138E98B" w14:textId="2F6C5DB8"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w:t>
            </w:r>
            <w:r w:rsidR="00CE1528" w:rsidRPr="00296E53">
              <w:rPr>
                <w:rFonts w:ascii="Century Gothic" w:eastAsia="Times New Roman" w:hAnsi="Century Gothic" w:cs="Calibri"/>
                <w:color w:val="000000"/>
                <w:sz w:val="17"/>
                <w:szCs w:val="17"/>
                <w:lang w:val="en-US"/>
              </w:rPr>
              <w:t>%</w:t>
            </w:r>
          </w:p>
        </w:tc>
      </w:tr>
      <w:tr w:rsidR="008F5F4D" w:rsidRPr="00296E53" w14:paraId="6E477114" w14:textId="77777777" w:rsidTr="00A72C60">
        <w:trPr>
          <w:trHeight w:val="315"/>
          <w:jc w:val="center"/>
        </w:trPr>
        <w:tc>
          <w:tcPr>
            <w:tcW w:w="880" w:type="dxa"/>
            <w:tcBorders>
              <w:top w:val="nil"/>
              <w:left w:val="single" w:sz="8" w:space="0" w:color="0F243E"/>
            </w:tcBorders>
            <w:shd w:val="clear" w:color="auto" w:fill="auto"/>
            <w:noWrap/>
            <w:vAlign w:val="center"/>
            <w:hideMark/>
          </w:tcPr>
          <w:p w14:paraId="41E19556"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140" w:type="dxa"/>
            <w:tcBorders>
              <w:top w:val="nil"/>
            </w:tcBorders>
            <w:shd w:val="clear" w:color="auto" w:fill="auto"/>
            <w:noWrap/>
            <w:vAlign w:val="center"/>
            <w:hideMark/>
          </w:tcPr>
          <w:p w14:paraId="062ADD7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Bienal</w:t>
            </w:r>
            <w:proofErr w:type="spellEnd"/>
          </w:p>
        </w:tc>
        <w:tc>
          <w:tcPr>
            <w:tcW w:w="1260" w:type="dxa"/>
            <w:tcBorders>
              <w:top w:val="nil"/>
              <w:right w:val="single" w:sz="8" w:space="0" w:color="0F243E"/>
            </w:tcBorders>
            <w:shd w:val="clear" w:color="auto" w:fill="auto"/>
            <w:noWrap/>
            <w:vAlign w:val="center"/>
            <w:hideMark/>
          </w:tcPr>
          <w:p w14:paraId="357F9E56"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ENVE</w:t>
            </w:r>
          </w:p>
        </w:tc>
        <w:tc>
          <w:tcPr>
            <w:tcW w:w="920" w:type="dxa"/>
            <w:tcBorders>
              <w:top w:val="nil"/>
              <w:left w:val="single" w:sz="8" w:space="0" w:color="0F243E"/>
            </w:tcBorders>
            <w:shd w:val="clear" w:color="auto" w:fill="auto"/>
            <w:noWrap/>
            <w:vAlign w:val="center"/>
            <w:hideMark/>
          </w:tcPr>
          <w:p w14:paraId="7BEA1D3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66</w:t>
            </w:r>
          </w:p>
        </w:tc>
        <w:tc>
          <w:tcPr>
            <w:tcW w:w="900" w:type="dxa"/>
            <w:tcBorders>
              <w:top w:val="nil"/>
            </w:tcBorders>
            <w:shd w:val="clear" w:color="auto" w:fill="auto"/>
            <w:noWrap/>
            <w:vAlign w:val="center"/>
            <w:hideMark/>
          </w:tcPr>
          <w:p w14:paraId="5F707863" w14:textId="0E101D6A"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78C755E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noWrap/>
            <w:vAlign w:val="center"/>
            <w:hideMark/>
          </w:tcPr>
          <w:p w14:paraId="1236E33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5EB6C736"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00" w:type="dxa"/>
            <w:tcBorders>
              <w:top w:val="nil"/>
            </w:tcBorders>
            <w:shd w:val="clear" w:color="auto" w:fill="auto"/>
            <w:vAlign w:val="center"/>
            <w:hideMark/>
          </w:tcPr>
          <w:p w14:paraId="2505387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5454CD07"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544A7988"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auto" w:fill="auto"/>
            <w:vAlign w:val="center"/>
            <w:hideMark/>
          </w:tcPr>
          <w:p w14:paraId="4825372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66</w:t>
            </w:r>
          </w:p>
        </w:tc>
        <w:tc>
          <w:tcPr>
            <w:tcW w:w="900" w:type="dxa"/>
            <w:tcBorders>
              <w:top w:val="nil"/>
            </w:tcBorders>
            <w:shd w:val="clear" w:color="auto" w:fill="auto"/>
            <w:vAlign w:val="center"/>
            <w:hideMark/>
          </w:tcPr>
          <w:p w14:paraId="56C126A9" w14:textId="641D054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4AF4FF4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33F2377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3DDAE1AB" w14:textId="77777777" w:rsidTr="00A72C60">
        <w:trPr>
          <w:trHeight w:val="300"/>
          <w:jc w:val="center"/>
        </w:trPr>
        <w:tc>
          <w:tcPr>
            <w:tcW w:w="880" w:type="dxa"/>
            <w:tcBorders>
              <w:top w:val="nil"/>
              <w:left w:val="single" w:sz="8" w:space="0" w:color="0F243E"/>
              <w:bottom w:val="single" w:sz="8" w:space="0" w:color="0F243E"/>
            </w:tcBorders>
            <w:shd w:val="clear" w:color="000000" w:fill="D0CECE"/>
            <w:noWrap/>
            <w:vAlign w:val="center"/>
            <w:hideMark/>
          </w:tcPr>
          <w:p w14:paraId="45C9EEB9"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140" w:type="dxa"/>
            <w:tcBorders>
              <w:top w:val="nil"/>
              <w:bottom w:val="single" w:sz="8" w:space="0" w:color="0F243E"/>
            </w:tcBorders>
            <w:shd w:val="clear" w:color="000000" w:fill="D0CECE"/>
            <w:noWrap/>
            <w:vAlign w:val="center"/>
            <w:hideMark/>
          </w:tcPr>
          <w:p w14:paraId="6ED7FCC1"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Trienal</w:t>
            </w:r>
            <w:proofErr w:type="spellEnd"/>
          </w:p>
        </w:tc>
        <w:tc>
          <w:tcPr>
            <w:tcW w:w="1260" w:type="dxa"/>
            <w:tcBorders>
              <w:top w:val="nil"/>
              <w:bottom w:val="single" w:sz="8" w:space="0" w:color="0F243E"/>
              <w:right w:val="single" w:sz="8" w:space="0" w:color="0F243E"/>
            </w:tcBorders>
            <w:shd w:val="clear" w:color="000000" w:fill="D0CECE"/>
            <w:noWrap/>
            <w:vAlign w:val="center"/>
            <w:hideMark/>
          </w:tcPr>
          <w:p w14:paraId="6F08783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ECRIGE-CDMX</w:t>
            </w:r>
          </w:p>
        </w:tc>
        <w:tc>
          <w:tcPr>
            <w:tcW w:w="920" w:type="dxa"/>
            <w:tcBorders>
              <w:top w:val="nil"/>
              <w:left w:val="single" w:sz="8" w:space="0" w:color="0F243E"/>
              <w:bottom w:val="single" w:sz="8" w:space="0" w:color="0F243E"/>
            </w:tcBorders>
            <w:shd w:val="clear" w:color="000000" w:fill="D0CECE"/>
            <w:noWrap/>
            <w:vAlign w:val="center"/>
            <w:hideMark/>
          </w:tcPr>
          <w:p w14:paraId="32F9AD61"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00" w:type="dxa"/>
            <w:tcBorders>
              <w:top w:val="nil"/>
              <w:bottom w:val="single" w:sz="8" w:space="0" w:color="0F243E"/>
            </w:tcBorders>
            <w:shd w:val="clear" w:color="000000" w:fill="D0CECE"/>
            <w:noWrap/>
            <w:vAlign w:val="center"/>
            <w:hideMark/>
          </w:tcPr>
          <w:p w14:paraId="2F7D276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60" w:type="dxa"/>
            <w:tcBorders>
              <w:top w:val="nil"/>
              <w:bottom w:val="single" w:sz="8" w:space="0" w:color="0F243E"/>
            </w:tcBorders>
            <w:shd w:val="clear" w:color="000000" w:fill="D0CECE"/>
            <w:noWrap/>
            <w:vAlign w:val="center"/>
            <w:hideMark/>
          </w:tcPr>
          <w:p w14:paraId="6F5D40A1"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620" w:type="dxa"/>
            <w:tcBorders>
              <w:top w:val="nil"/>
              <w:bottom w:val="single" w:sz="8" w:space="0" w:color="0F243E"/>
              <w:right w:val="single" w:sz="8" w:space="0" w:color="0F243E"/>
            </w:tcBorders>
            <w:shd w:val="clear" w:color="000000" w:fill="D0CECE"/>
            <w:noWrap/>
            <w:vAlign w:val="center"/>
            <w:hideMark/>
          </w:tcPr>
          <w:p w14:paraId="678552C0"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bottom w:val="single" w:sz="8" w:space="0" w:color="0F243E"/>
            </w:tcBorders>
            <w:shd w:val="clear" w:color="000000" w:fill="D0CECE"/>
            <w:vAlign w:val="center"/>
            <w:hideMark/>
          </w:tcPr>
          <w:p w14:paraId="00C4901B"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00" w:type="dxa"/>
            <w:tcBorders>
              <w:top w:val="nil"/>
              <w:bottom w:val="single" w:sz="8" w:space="0" w:color="0F243E"/>
            </w:tcBorders>
            <w:shd w:val="clear" w:color="000000" w:fill="D0CECE"/>
            <w:vAlign w:val="center"/>
            <w:hideMark/>
          </w:tcPr>
          <w:p w14:paraId="0FD9150F"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60" w:type="dxa"/>
            <w:tcBorders>
              <w:top w:val="nil"/>
              <w:bottom w:val="single" w:sz="8" w:space="0" w:color="0F243E"/>
            </w:tcBorders>
            <w:shd w:val="clear" w:color="000000" w:fill="D0CECE"/>
            <w:vAlign w:val="center"/>
            <w:hideMark/>
          </w:tcPr>
          <w:p w14:paraId="16098B3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620" w:type="dxa"/>
            <w:tcBorders>
              <w:top w:val="nil"/>
              <w:bottom w:val="single" w:sz="8" w:space="0" w:color="0F243E"/>
              <w:right w:val="single" w:sz="8" w:space="0" w:color="0F243E"/>
            </w:tcBorders>
            <w:shd w:val="clear" w:color="000000" w:fill="D0CECE"/>
            <w:vAlign w:val="center"/>
            <w:hideMark/>
          </w:tcPr>
          <w:p w14:paraId="072F5747"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bottom w:val="single" w:sz="8" w:space="0" w:color="0F243E"/>
            </w:tcBorders>
            <w:shd w:val="clear" w:color="000000" w:fill="D0CECE"/>
            <w:vAlign w:val="center"/>
            <w:hideMark/>
          </w:tcPr>
          <w:p w14:paraId="3E33EBC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17</w:t>
            </w:r>
          </w:p>
        </w:tc>
        <w:tc>
          <w:tcPr>
            <w:tcW w:w="900" w:type="dxa"/>
            <w:tcBorders>
              <w:top w:val="nil"/>
              <w:bottom w:val="single" w:sz="8" w:space="0" w:color="0F243E"/>
            </w:tcBorders>
            <w:shd w:val="clear" w:color="000000" w:fill="D0CECE"/>
            <w:vAlign w:val="center"/>
            <w:hideMark/>
          </w:tcPr>
          <w:p w14:paraId="68E96DEC" w14:textId="485FB62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bottom w:val="single" w:sz="8" w:space="0" w:color="0F243E"/>
            </w:tcBorders>
            <w:shd w:val="clear" w:color="000000" w:fill="D0CECE"/>
            <w:vAlign w:val="center"/>
            <w:hideMark/>
          </w:tcPr>
          <w:p w14:paraId="5E2AEE7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bottom w:val="single" w:sz="8" w:space="0" w:color="0F243E"/>
              <w:right w:val="single" w:sz="8" w:space="0" w:color="0F243E"/>
            </w:tcBorders>
            <w:shd w:val="clear" w:color="000000" w:fill="D0CECE"/>
            <w:vAlign w:val="center"/>
            <w:hideMark/>
          </w:tcPr>
          <w:p w14:paraId="300B557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bl>
    <w:p w14:paraId="11102761" w14:textId="3B4423CF" w:rsidR="00F524A6" w:rsidRPr="00296E53" w:rsidRDefault="00F524A6" w:rsidP="00D103B2">
      <w:pPr>
        <w:spacing w:after="0"/>
        <w:ind w:left="426"/>
        <w:jc w:val="both"/>
        <w:rPr>
          <w:rFonts w:ascii="Century Gothic" w:eastAsia="Century Gothic" w:hAnsi="Century Gothic" w:cs="Century Gothic"/>
          <w:position w:val="4"/>
          <w:sz w:val="15"/>
          <w:szCs w:val="15"/>
        </w:rPr>
      </w:pPr>
      <w:r w:rsidRPr="00296E53">
        <w:rPr>
          <w:rFonts w:ascii="Century Gothic" w:eastAsia="Century Gothic" w:hAnsi="Century Gothic" w:cs="Century Gothic"/>
          <w:position w:val="4"/>
          <w:sz w:val="15"/>
          <w:szCs w:val="15"/>
        </w:rPr>
        <w:t>a/ Los umbrales para el Coeficiente de Variación de las variables principales aprobados por el Comité de Aseguramiento de la Calidad para encuestas en unidades económicas</w:t>
      </w:r>
    </w:p>
    <w:p w14:paraId="6DD9AD0C" w14:textId="7EFD5DAC"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2018, correspondientes a los indicadores registrados en metadatos durante ese año, independientemente del período de publicación de la información.</w:t>
      </w:r>
    </w:p>
    <w:p w14:paraId="52D099DF" w14:textId="565BB62B"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2019, correspondientes a los indicadores registrados en metadatos durante ese año, independientemente del período de publicación de la información.</w:t>
      </w:r>
    </w:p>
    <w:p w14:paraId="27ABEB3C" w14:textId="77777777"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corresponden a los indicadores registrados en metadatos durante el 2020, independientemente del período de publicación de la información.</w:t>
      </w:r>
    </w:p>
    <w:p w14:paraId="7EEAC01F" w14:textId="77777777" w:rsidR="002207A6" w:rsidRPr="00296E53" w:rsidRDefault="002207A6" w:rsidP="002207A6">
      <w:pPr>
        <w:spacing w:after="0"/>
        <w:ind w:left="426" w:hanging="142"/>
        <w:jc w:val="both"/>
        <w:rPr>
          <w:rFonts w:ascii="Century Gothic" w:hAnsi="Century Gothic"/>
          <w:sz w:val="14"/>
          <w:szCs w:val="14"/>
        </w:rPr>
      </w:pPr>
      <w:r>
        <w:rPr>
          <w:rFonts w:ascii="Century Gothic" w:hAnsi="Century Gothic"/>
          <w:sz w:val="14"/>
          <w:szCs w:val="14"/>
        </w:rPr>
        <w:t>****El número de casos totales corresponde a la multiplicación de los indicadores objetivo por los dominios de estudio por el número de publicaciones durante el año.  Dado que en 2018 se comenzó la publicación de los indicadores de precisión estadística no se publicaron para los 12 meses, en 2019 se publicaron más de 12 meses ya que se reportaron los faltantes en 2018 y, en 2020 se publicaron conforme a lo mencionado en el cuadro A.6.2.</w:t>
      </w:r>
    </w:p>
    <w:p w14:paraId="27DA4250" w14:textId="77777777" w:rsidR="005B594E" w:rsidRDefault="005B594E">
      <w:pPr>
        <w:rPr>
          <w:rFonts w:ascii="Century Gothic" w:hAnsi="Century Gothic" w:cstheme="minorHAnsi"/>
          <w:sz w:val="19"/>
          <w:szCs w:val="19"/>
        </w:rPr>
      </w:pPr>
    </w:p>
    <w:p w14:paraId="7D2F543A" w14:textId="37149C48" w:rsidR="00BE519D" w:rsidRPr="00296E53" w:rsidRDefault="00BE519D" w:rsidP="002207A6">
      <w:pPr>
        <w:jc w:val="both"/>
        <w:rPr>
          <w:rFonts w:ascii="Century Gothic" w:hAnsi="Century Gothic" w:cstheme="minorHAnsi"/>
          <w:sz w:val="19"/>
          <w:szCs w:val="19"/>
        </w:rPr>
      </w:pPr>
      <w:r w:rsidRPr="00296E53">
        <w:rPr>
          <w:rFonts w:ascii="Century Gothic" w:hAnsi="Century Gothic" w:cstheme="minorHAnsi"/>
          <w:sz w:val="19"/>
          <w:szCs w:val="19"/>
        </w:rPr>
        <w:t>En el cuadro A.6.5, aunque se observa consistencia en los umbrales de los Coeficientes de Variación entre años, destaca la disminución en los dominios de estudio para los programas de la ENDUTIH, ENCO, ENOE, MODELCULT y MOLEC, siendo el caso más relevante la ENDUTIH en donde disminuyó el tamaño de muestra; y en el caso de la ENCO y la ENOE que fueron afectados en mayor medida por la contingencia sanitaria, dejando de reportar indicadores para conocidos ciclos del programa.</w:t>
      </w:r>
      <w:r w:rsidRPr="00296E53">
        <w:rPr>
          <w:rFonts w:ascii="Century Gothic" w:hAnsi="Century Gothic" w:cstheme="minorHAnsi"/>
          <w:sz w:val="19"/>
          <w:szCs w:val="19"/>
        </w:rPr>
        <w:br w:type="page"/>
      </w:r>
    </w:p>
    <w:p w14:paraId="1BBF2AC9" w14:textId="77777777" w:rsidR="004C67A4" w:rsidRPr="00296E53" w:rsidRDefault="004C67A4" w:rsidP="00D41680">
      <w:pPr>
        <w:spacing w:before="240"/>
        <w:jc w:val="both"/>
        <w:rPr>
          <w:rFonts w:ascii="Century Gothic" w:hAnsi="Century Gothic" w:cstheme="minorHAnsi"/>
          <w:sz w:val="19"/>
          <w:szCs w:val="19"/>
        </w:rPr>
      </w:pPr>
    </w:p>
    <w:p w14:paraId="0FD92249" w14:textId="77777777" w:rsidR="00D952AA" w:rsidRPr="00296E53" w:rsidRDefault="00D952AA" w:rsidP="00D952AA">
      <w:pPr>
        <w:jc w:val="center"/>
        <w:rPr>
          <w:rFonts w:ascii="Century Gothic" w:hAnsi="Century Gothic" w:cstheme="majorHAnsi"/>
          <w:b/>
          <w:sz w:val="19"/>
          <w:szCs w:val="19"/>
        </w:rPr>
      </w:pPr>
      <w:r w:rsidRPr="00296E53">
        <w:rPr>
          <w:rFonts w:ascii="Century Gothic" w:hAnsi="Century Gothic" w:cstheme="majorHAnsi"/>
          <w:b/>
          <w:sz w:val="19"/>
          <w:szCs w:val="19"/>
        </w:rPr>
        <w:t xml:space="preserve">A.6.5. Frecuencias del Coeficiente de Variación en encuestas a hogares y otras unidades </w:t>
      </w:r>
      <w:r w:rsidRPr="00296E53">
        <w:rPr>
          <w:rFonts w:ascii="Century Gothic" w:hAnsi="Century Gothic" w:cstheme="majorHAnsi"/>
          <w:b/>
          <w:sz w:val="19"/>
          <w:szCs w:val="19"/>
        </w:rPr>
        <w:br/>
        <w:t xml:space="preserve">de acuerdo con los umbrales aprobados en el Comité por Programa </w:t>
      </w:r>
    </w:p>
    <w:tbl>
      <w:tblPr>
        <w:tblW w:w="14165" w:type="dxa"/>
        <w:tblLayout w:type="fixed"/>
        <w:tblLook w:val="04A0" w:firstRow="1" w:lastRow="0" w:firstColumn="1" w:lastColumn="0" w:noHBand="0" w:noVBand="1"/>
      </w:tblPr>
      <w:tblGrid>
        <w:gridCol w:w="999"/>
        <w:gridCol w:w="1268"/>
        <w:gridCol w:w="1150"/>
        <w:gridCol w:w="998"/>
        <w:gridCol w:w="820"/>
        <w:gridCol w:w="1134"/>
        <w:gridCol w:w="709"/>
        <w:gridCol w:w="992"/>
        <w:gridCol w:w="709"/>
        <w:gridCol w:w="1134"/>
        <w:gridCol w:w="709"/>
        <w:gridCol w:w="992"/>
        <w:gridCol w:w="709"/>
        <w:gridCol w:w="1134"/>
        <w:gridCol w:w="708"/>
      </w:tblGrid>
      <w:tr w:rsidR="00DC50C6" w:rsidRPr="00296E53" w14:paraId="1C1CC091" w14:textId="77777777" w:rsidTr="00DC50C6">
        <w:trPr>
          <w:trHeight w:val="315"/>
        </w:trPr>
        <w:tc>
          <w:tcPr>
            <w:tcW w:w="999"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18050604" w14:textId="77777777"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UA</w:t>
            </w:r>
          </w:p>
        </w:tc>
        <w:tc>
          <w:tcPr>
            <w:tcW w:w="1268"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13C48379" w14:textId="77777777"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Periodicidad</w:t>
            </w:r>
            <w:proofErr w:type="spellEnd"/>
          </w:p>
        </w:tc>
        <w:tc>
          <w:tcPr>
            <w:tcW w:w="1150"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74F47F63" w14:textId="77777777"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Programa</w:t>
            </w:r>
            <w:proofErr w:type="spellEnd"/>
          </w:p>
        </w:tc>
        <w:tc>
          <w:tcPr>
            <w:tcW w:w="3661"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62C7EF46" w14:textId="434C8F53"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Indicadores</w:t>
            </w:r>
            <w:proofErr w:type="spellEnd"/>
            <w:r w:rsidRPr="00296E53">
              <w:rPr>
                <w:rFonts w:ascii="Century Gothic" w:eastAsia="Times New Roman" w:hAnsi="Century Gothic" w:cs="Calibri"/>
                <w:color w:val="FFFFFF"/>
                <w:sz w:val="17"/>
                <w:szCs w:val="17"/>
                <w:lang w:val="en-US"/>
              </w:rPr>
              <w:t xml:space="preserve"> </w:t>
            </w:r>
            <w:proofErr w:type="spellStart"/>
            <w:r w:rsidRPr="00296E53">
              <w:rPr>
                <w:rFonts w:ascii="Century Gothic" w:eastAsia="Times New Roman" w:hAnsi="Century Gothic" w:cs="Calibri"/>
                <w:color w:val="FFFFFF"/>
                <w:sz w:val="17"/>
                <w:szCs w:val="17"/>
                <w:lang w:val="en-US"/>
              </w:rPr>
              <w:t>reportados</w:t>
            </w:r>
            <w:proofErr w:type="spellEnd"/>
            <w:r w:rsidRPr="00296E53">
              <w:rPr>
                <w:rFonts w:ascii="Century Gothic" w:eastAsia="Times New Roman" w:hAnsi="Century Gothic" w:cs="Calibri"/>
                <w:color w:val="FFFFFF"/>
                <w:sz w:val="17"/>
                <w:szCs w:val="17"/>
                <w:lang w:val="en-US"/>
              </w:rPr>
              <w:t xml:space="preserve"> </w:t>
            </w:r>
            <w:proofErr w:type="spellStart"/>
            <w:r w:rsidRPr="00296E53">
              <w:rPr>
                <w:rFonts w:ascii="Century Gothic" w:eastAsia="Times New Roman" w:hAnsi="Century Gothic" w:cs="Calibri"/>
                <w:color w:val="FFFFFF"/>
                <w:sz w:val="17"/>
                <w:szCs w:val="17"/>
                <w:lang w:val="en-US"/>
              </w:rPr>
              <w:t>en</w:t>
            </w:r>
            <w:proofErr w:type="spellEnd"/>
            <w:r w:rsidRPr="00296E53">
              <w:rPr>
                <w:rFonts w:ascii="Century Gothic" w:eastAsia="Times New Roman" w:hAnsi="Century Gothic" w:cs="Calibri"/>
                <w:color w:val="FFFFFF"/>
                <w:sz w:val="17"/>
                <w:szCs w:val="17"/>
                <w:lang w:val="en-US"/>
              </w:rPr>
              <w:t xml:space="preserve"> 2018</w:t>
            </w:r>
            <w:r w:rsidR="00D103B2" w:rsidRPr="00296E53">
              <w:rPr>
                <w:rFonts w:ascii="Century Gothic" w:eastAsia="Times New Roman" w:hAnsi="Century Gothic" w:cs="Calibri"/>
                <w:color w:val="FFFFFF"/>
                <w:sz w:val="17"/>
                <w:szCs w:val="17"/>
                <w:lang w:val="en-US"/>
              </w:rPr>
              <w:t>*</w:t>
            </w:r>
          </w:p>
        </w:tc>
        <w:tc>
          <w:tcPr>
            <w:tcW w:w="3544"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2B334971" w14:textId="3F556B90"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Indicadores</w:t>
            </w:r>
            <w:proofErr w:type="spellEnd"/>
            <w:r w:rsidRPr="00296E53">
              <w:rPr>
                <w:rFonts w:ascii="Century Gothic" w:eastAsia="Times New Roman" w:hAnsi="Century Gothic" w:cs="Calibri"/>
                <w:color w:val="FFFFFF"/>
                <w:sz w:val="17"/>
                <w:szCs w:val="17"/>
                <w:lang w:val="en-US"/>
              </w:rPr>
              <w:t xml:space="preserve"> </w:t>
            </w:r>
            <w:proofErr w:type="spellStart"/>
            <w:r w:rsidRPr="00296E53">
              <w:rPr>
                <w:rFonts w:ascii="Century Gothic" w:eastAsia="Times New Roman" w:hAnsi="Century Gothic" w:cs="Calibri"/>
                <w:color w:val="FFFFFF"/>
                <w:sz w:val="17"/>
                <w:szCs w:val="17"/>
                <w:lang w:val="en-US"/>
              </w:rPr>
              <w:t>reportados</w:t>
            </w:r>
            <w:proofErr w:type="spellEnd"/>
            <w:r w:rsidRPr="00296E53">
              <w:rPr>
                <w:rFonts w:ascii="Century Gothic" w:eastAsia="Times New Roman" w:hAnsi="Century Gothic" w:cs="Calibri"/>
                <w:color w:val="FFFFFF"/>
                <w:sz w:val="17"/>
                <w:szCs w:val="17"/>
                <w:lang w:val="en-US"/>
              </w:rPr>
              <w:t xml:space="preserve"> </w:t>
            </w:r>
            <w:proofErr w:type="spellStart"/>
            <w:r w:rsidRPr="00296E53">
              <w:rPr>
                <w:rFonts w:ascii="Century Gothic" w:eastAsia="Times New Roman" w:hAnsi="Century Gothic" w:cs="Calibri"/>
                <w:color w:val="FFFFFF"/>
                <w:sz w:val="17"/>
                <w:szCs w:val="17"/>
                <w:lang w:val="en-US"/>
              </w:rPr>
              <w:t>en</w:t>
            </w:r>
            <w:proofErr w:type="spellEnd"/>
            <w:r w:rsidRPr="00296E53">
              <w:rPr>
                <w:rFonts w:ascii="Century Gothic" w:eastAsia="Times New Roman" w:hAnsi="Century Gothic" w:cs="Calibri"/>
                <w:color w:val="FFFFFF"/>
                <w:sz w:val="17"/>
                <w:szCs w:val="17"/>
                <w:lang w:val="en-US"/>
              </w:rPr>
              <w:t xml:space="preserve"> 2019</w:t>
            </w:r>
            <w:r w:rsidR="00D103B2" w:rsidRPr="00296E53">
              <w:rPr>
                <w:rFonts w:ascii="Century Gothic" w:eastAsia="Times New Roman" w:hAnsi="Century Gothic" w:cs="Calibri"/>
                <w:color w:val="FFFFFF"/>
                <w:sz w:val="17"/>
                <w:szCs w:val="17"/>
                <w:lang w:val="en-US"/>
              </w:rPr>
              <w:t>**</w:t>
            </w:r>
          </w:p>
        </w:tc>
        <w:tc>
          <w:tcPr>
            <w:tcW w:w="3543"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699534F0" w14:textId="48D9510C"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Indicadores</w:t>
            </w:r>
            <w:proofErr w:type="spellEnd"/>
            <w:r w:rsidRPr="00296E53">
              <w:rPr>
                <w:rFonts w:ascii="Century Gothic" w:eastAsia="Times New Roman" w:hAnsi="Century Gothic" w:cs="Calibri"/>
                <w:color w:val="FFFFFF"/>
                <w:sz w:val="17"/>
                <w:szCs w:val="17"/>
                <w:lang w:val="en-US"/>
              </w:rPr>
              <w:t xml:space="preserve"> </w:t>
            </w:r>
            <w:proofErr w:type="spellStart"/>
            <w:r w:rsidRPr="00296E53">
              <w:rPr>
                <w:rFonts w:ascii="Century Gothic" w:eastAsia="Times New Roman" w:hAnsi="Century Gothic" w:cs="Calibri"/>
                <w:color w:val="FFFFFF"/>
                <w:sz w:val="17"/>
                <w:szCs w:val="17"/>
                <w:lang w:val="en-US"/>
              </w:rPr>
              <w:t>reportados</w:t>
            </w:r>
            <w:proofErr w:type="spellEnd"/>
            <w:r w:rsidRPr="00296E53">
              <w:rPr>
                <w:rFonts w:ascii="Century Gothic" w:eastAsia="Times New Roman" w:hAnsi="Century Gothic" w:cs="Calibri"/>
                <w:color w:val="FFFFFF"/>
                <w:sz w:val="17"/>
                <w:szCs w:val="17"/>
                <w:lang w:val="en-US"/>
              </w:rPr>
              <w:t xml:space="preserve"> </w:t>
            </w:r>
            <w:proofErr w:type="spellStart"/>
            <w:r w:rsidRPr="00296E53">
              <w:rPr>
                <w:rFonts w:ascii="Century Gothic" w:eastAsia="Times New Roman" w:hAnsi="Century Gothic" w:cs="Calibri"/>
                <w:color w:val="FFFFFF"/>
                <w:sz w:val="17"/>
                <w:szCs w:val="17"/>
                <w:lang w:val="en-US"/>
              </w:rPr>
              <w:t>en</w:t>
            </w:r>
            <w:proofErr w:type="spellEnd"/>
            <w:r w:rsidRPr="00296E53">
              <w:rPr>
                <w:rFonts w:ascii="Century Gothic" w:eastAsia="Times New Roman" w:hAnsi="Century Gothic" w:cs="Calibri"/>
                <w:color w:val="FFFFFF"/>
                <w:sz w:val="17"/>
                <w:szCs w:val="17"/>
                <w:lang w:val="en-US"/>
              </w:rPr>
              <w:t xml:space="preserve"> 2020</w:t>
            </w:r>
            <w:r w:rsidR="00D103B2" w:rsidRPr="00296E53">
              <w:rPr>
                <w:rFonts w:ascii="Century Gothic" w:eastAsia="Times New Roman" w:hAnsi="Century Gothic" w:cs="Calibri"/>
                <w:color w:val="FFFFFF"/>
                <w:sz w:val="17"/>
                <w:szCs w:val="17"/>
                <w:lang w:val="en-US"/>
              </w:rPr>
              <w:t>***</w:t>
            </w:r>
          </w:p>
        </w:tc>
      </w:tr>
      <w:tr w:rsidR="00DC50C6" w:rsidRPr="00296E53" w14:paraId="05802AAF" w14:textId="77777777" w:rsidTr="00DC50C6">
        <w:trPr>
          <w:trHeight w:val="510"/>
        </w:trPr>
        <w:tc>
          <w:tcPr>
            <w:tcW w:w="999" w:type="dxa"/>
            <w:vMerge/>
            <w:tcBorders>
              <w:top w:val="single" w:sz="8" w:space="0" w:color="AEAAAA"/>
              <w:left w:val="single" w:sz="8" w:space="0" w:color="AEAAAA"/>
              <w:bottom w:val="single" w:sz="8" w:space="0" w:color="AEAAAA"/>
              <w:right w:val="single" w:sz="8" w:space="0" w:color="AEAAAA"/>
            </w:tcBorders>
            <w:vAlign w:val="center"/>
            <w:hideMark/>
          </w:tcPr>
          <w:p w14:paraId="16144B4D"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1268" w:type="dxa"/>
            <w:vMerge/>
            <w:tcBorders>
              <w:top w:val="single" w:sz="8" w:space="0" w:color="AEAAAA"/>
              <w:left w:val="single" w:sz="8" w:space="0" w:color="AEAAAA"/>
              <w:bottom w:val="single" w:sz="8" w:space="0" w:color="AEAAAA"/>
              <w:right w:val="single" w:sz="8" w:space="0" w:color="AEAAAA"/>
            </w:tcBorders>
            <w:vAlign w:val="center"/>
            <w:hideMark/>
          </w:tcPr>
          <w:p w14:paraId="23998D89"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1150" w:type="dxa"/>
            <w:vMerge/>
            <w:tcBorders>
              <w:top w:val="single" w:sz="8" w:space="0" w:color="AEAAAA"/>
              <w:left w:val="single" w:sz="8" w:space="0" w:color="AEAAAA"/>
              <w:bottom w:val="single" w:sz="8" w:space="0" w:color="AEAAAA"/>
              <w:right w:val="single" w:sz="8" w:space="0" w:color="AEAAAA"/>
            </w:tcBorders>
            <w:vAlign w:val="center"/>
            <w:hideMark/>
          </w:tcPr>
          <w:p w14:paraId="54D77BF6"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998"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4F025F0F" w14:textId="77777777" w:rsidR="00DC50C6" w:rsidRDefault="00DC50C6" w:rsidP="00CA54D2">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Número</w:t>
            </w:r>
            <w:proofErr w:type="spellEnd"/>
            <w:r w:rsidRPr="00296E53">
              <w:rPr>
                <w:rFonts w:ascii="Century Gothic" w:eastAsia="Times New Roman" w:hAnsi="Century Gothic" w:cs="Calibri"/>
                <w:color w:val="FFFFFF"/>
                <w:sz w:val="17"/>
                <w:szCs w:val="17"/>
                <w:lang w:val="en-US"/>
              </w:rPr>
              <w:t xml:space="preserve"> de Casos </w:t>
            </w:r>
            <w:proofErr w:type="spellStart"/>
            <w:r w:rsidRPr="00296E53">
              <w:rPr>
                <w:rFonts w:ascii="Century Gothic" w:eastAsia="Times New Roman" w:hAnsi="Century Gothic" w:cs="Calibri"/>
                <w:color w:val="FFFFFF"/>
                <w:sz w:val="17"/>
                <w:szCs w:val="17"/>
                <w:lang w:val="en-US"/>
              </w:rPr>
              <w:t>Totales</w:t>
            </w:r>
            <w:proofErr w:type="spellEnd"/>
          </w:p>
          <w:p w14:paraId="69BB793C" w14:textId="7D2DB3CA" w:rsidR="002207A6" w:rsidRPr="00296E53" w:rsidRDefault="002207A6" w:rsidP="00CA54D2">
            <w:pPr>
              <w:spacing w:after="0" w:line="240" w:lineRule="auto"/>
              <w:jc w:val="center"/>
              <w:rPr>
                <w:rFonts w:ascii="Century Gothic" w:eastAsia="Times New Roman" w:hAnsi="Century Gothic" w:cs="Calibri"/>
                <w:color w:val="FFFFFF"/>
                <w:sz w:val="17"/>
                <w:szCs w:val="17"/>
                <w:lang w:val="en-US"/>
              </w:rPr>
            </w:pPr>
            <w:r>
              <w:rPr>
                <w:rFonts w:ascii="Century Gothic" w:eastAsia="Times New Roman" w:hAnsi="Century Gothic" w:cs="Calibri"/>
                <w:color w:val="FFFFFF"/>
                <w:sz w:val="17"/>
                <w:szCs w:val="17"/>
                <w:lang w:val="en-US"/>
              </w:rPr>
              <w:t>****</w:t>
            </w:r>
          </w:p>
        </w:tc>
        <w:tc>
          <w:tcPr>
            <w:tcW w:w="820" w:type="dxa"/>
            <w:vMerge w:val="restart"/>
            <w:tcBorders>
              <w:top w:val="nil"/>
              <w:left w:val="single" w:sz="8" w:space="0" w:color="AEAAAA"/>
              <w:bottom w:val="single" w:sz="8" w:space="0" w:color="AEAAAA"/>
              <w:right w:val="single" w:sz="8" w:space="0" w:color="AEAAAA"/>
            </w:tcBorders>
            <w:shd w:val="clear" w:color="000000" w:fill="FFFFFF"/>
            <w:vAlign w:val="center"/>
            <w:hideMark/>
          </w:tcPr>
          <w:p w14:paraId="5826F013" w14:textId="44217851"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Alta</w:t>
            </w:r>
            <w:r w:rsidRPr="00296E53">
              <w:rPr>
                <w:rFonts w:ascii="Century Gothic" w:eastAsia="Times New Roman" w:hAnsi="Century Gothic" w:cs="Calibri"/>
                <w:color w:val="000000"/>
                <w:sz w:val="17"/>
                <w:szCs w:val="17"/>
                <w:lang w:val="en-US"/>
              </w:rPr>
              <w:br/>
              <w:t xml:space="preserve">[0-15) </w:t>
            </w:r>
            <w:r w:rsidRPr="00296E53">
              <w:rPr>
                <w:rFonts w:ascii="Century Gothic" w:eastAsia="Times New Roman" w:hAnsi="Century Gothic" w:cs="Calibri"/>
                <w:color w:val="000000"/>
                <w:sz w:val="17"/>
                <w:szCs w:val="17"/>
                <w:vertAlign w:val="superscript"/>
                <w:lang w:val="en-US"/>
              </w:rPr>
              <w:t>a/</w:t>
            </w:r>
          </w:p>
        </w:tc>
        <w:tc>
          <w:tcPr>
            <w:tcW w:w="1134"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68D4FDB7" w14:textId="107D5066"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Moderada</w:t>
            </w:r>
            <w:proofErr w:type="spellEnd"/>
            <w:r w:rsidRPr="00296E53">
              <w:rPr>
                <w:rFonts w:ascii="Century Gothic" w:eastAsia="Times New Roman" w:hAnsi="Century Gothic" w:cs="Calibri"/>
                <w:color w:val="000000"/>
                <w:sz w:val="17"/>
                <w:szCs w:val="17"/>
                <w:lang w:val="en-US"/>
              </w:rPr>
              <w:t xml:space="preserve"> [15-30)</w:t>
            </w:r>
            <w:r w:rsidRPr="00296E53">
              <w:rPr>
                <w:rFonts w:ascii="Century Gothic" w:eastAsia="Times New Roman" w:hAnsi="Century Gothic" w:cs="Calibri"/>
                <w:b/>
                <w:bCs/>
                <w:color w:val="000000"/>
                <w:sz w:val="17"/>
                <w:szCs w:val="17"/>
                <w:vertAlign w:val="superscript"/>
                <w:lang w:val="en-US"/>
              </w:rPr>
              <w:t xml:space="preserve"> a/</w:t>
            </w:r>
          </w:p>
        </w:tc>
        <w:tc>
          <w:tcPr>
            <w:tcW w:w="709"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4E163623" w14:textId="77777777"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Baja &gt;=30</w:t>
            </w:r>
            <w:r w:rsidRPr="00296E53">
              <w:rPr>
                <w:rFonts w:ascii="Century Gothic" w:eastAsia="Times New Roman" w:hAnsi="Century Gothic" w:cs="Calibri"/>
                <w:b/>
                <w:bCs/>
                <w:color w:val="000000"/>
                <w:sz w:val="17"/>
                <w:szCs w:val="17"/>
                <w:vertAlign w:val="superscript"/>
                <w:lang w:val="en-US"/>
              </w:rPr>
              <w:t xml:space="preserve"> a/</w:t>
            </w:r>
          </w:p>
        </w:tc>
        <w:tc>
          <w:tcPr>
            <w:tcW w:w="992"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4527C2B1" w14:textId="77777777"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Número</w:t>
            </w:r>
            <w:proofErr w:type="spellEnd"/>
            <w:r w:rsidRPr="00296E53">
              <w:rPr>
                <w:rFonts w:ascii="Century Gothic" w:eastAsia="Times New Roman" w:hAnsi="Century Gothic" w:cs="Calibri"/>
                <w:color w:val="FFFFFF"/>
                <w:sz w:val="17"/>
                <w:szCs w:val="17"/>
                <w:lang w:val="en-US"/>
              </w:rPr>
              <w:t xml:space="preserve"> de Casos </w:t>
            </w:r>
            <w:proofErr w:type="spellStart"/>
            <w:r w:rsidRPr="00296E53">
              <w:rPr>
                <w:rFonts w:ascii="Century Gothic" w:eastAsia="Times New Roman" w:hAnsi="Century Gothic" w:cs="Calibri"/>
                <w:color w:val="FFFFFF"/>
                <w:sz w:val="17"/>
                <w:szCs w:val="17"/>
                <w:lang w:val="en-US"/>
              </w:rPr>
              <w:t>Totales</w:t>
            </w:r>
            <w:proofErr w:type="spellEnd"/>
          </w:p>
        </w:tc>
        <w:tc>
          <w:tcPr>
            <w:tcW w:w="709" w:type="dxa"/>
            <w:vMerge w:val="restart"/>
            <w:tcBorders>
              <w:top w:val="nil"/>
              <w:left w:val="single" w:sz="8" w:space="0" w:color="AEAAAA"/>
              <w:bottom w:val="single" w:sz="8" w:space="0" w:color="AEAAAA"/>
              <w:right w:val="single" w:sz="8" w:space="0" w:color="AEAAAA"/>
            </w:tcBorders>
            <w:shd w:val="clear" w:color="000000" w:fill="FFFFFF"/>
            <w:vAlign w:val="center"/>
            <w:hideMark/>
          </w:tcPr>
          <w:p w14:paraId="2164E24F" w14:textId="6510DDF1"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Alta</w:t>
            </w:r>
            <w:r w:rsidRPr="00296E53">
              <w:rPr>
                <w:rFonts w:ascii="Century Gothic" w:eastAsia="Times New Roman" w:hAnsi="Century Gothic" w:cs="Calibri"/>
                <w:color w:val="000000"/>
                <w:sz w:val="17"/>
                <w:szCs w:val="17"/>
                <w:lang w:val="en-US"/>
              </w:rPr>
              <w:br/>
              <w:t xml:space="preserve">[0-15) </w:t>
            </w:r>
            <w:r w:rsidRPr="00296E53">
              <w:rPr>
                <w:rFonts w:ascii="Century Gothic" w:eastAsia="Times New Roman" w:hAnsi="Century Gothic" w:cs="Calibri"/>
                <w:color w:val="000000"/>
                <w:sz w:val="17"/>
                <w:szCs w:val="17"/>
                <w:vertAlign w:val="superscript"/>
                <w:lang w:val="en-US"/>
              </w:rPr>
              <w:t>a/</w:t>
            </w:r>
          </w:p>
        </w:tc>
        <w:tc>
          <w:tcPr>
            <w:tcW w:w="1134"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364ABAA8" w14:textId="73B36E71"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Moderada</w:t>
            </w:r>
            <w:proofErr w:type="spellEnd"/>
            <w:r w:rsidRPr="00296E53">
              <w:rPr>
                <w:rFonts w:ascii="Century Gothic" w:eastAsia="Times New Roman" w:hAnsi="Century Gothic" w:cs="Calibri"/>
                <w:color w:val="000000"/>
                <w:sz w:val="17"/>
                <w:szCs w:val="17"/>
                <w:lang w:val="en-US"/>
              </w:rPr>
              <w:t xml:space="preserve"> [15-30)</w:t>
            </w:r>
            <w:r w:rsidRPr="00296E53">
              <w:rPr>
                <w:rFonts w:ascii="Century Gothic" w:eastAsia="Times New Roman" w:hAnsi="Century Gothic" w:cs="Calibri"/>
                <w:b/>
                <w:bCs/>
                <w:color w:val="000000"/>
                <w:sz w:val="17"/>
                <w:szCs w:val="17"/>
                <w:vertAlign w:val="superscript"/>
                <w:lang w:val="en-US"/>
              </w:rPr>
              <w:t xml:space="preserve"> a/</w:t>
            </w:r>
          </w:p>
        </w:tc>
        <w:tc>
          <w:tcPr>
            <w:tcW w:w="709"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6BE77D38" w14:textId="77777777"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Baja &gt;=30</w:t>
            </w:r>
            <w:r w:rsidRPr="00296E53">
              <w:rPr>
                <w:rFonts w:ascii="Century Gothic" w:eastAsia="Times New Roman" w:hAnsi="Century Gothic" w:cs="Calibri"/>
                <w:b/>
                <w:bCs/>
                <w:color w:val="000000"/>
                <w:sz w:val="17"/>
                <w:szCs w:val="17"/>
                <w:vertAlign w:val="superscript"/>
                <w:lang w:val="en-US"/>
              </w:rPr>
              <w:t xml:space="preserve"> a/</w:t>
            </w:r>
          </w:p>
        </w:tc>
        <w:tc>
          <w:tcPr>
            <w:tcW w:w="992"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2ABBC468" w14:textId="77777777"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proofErr w:type="spellStart"/>
            <w:r w:rsidRPr="00296E53">
              <w:rPr>
                <w:rFonts w:ascii="Century Gothic" w:eastAsia="Times New Roman" w:hAnsi="Century Gothic" w:cs="Calibri"/>
                <w:color w:val="FFFFFF"/>
                <w:sz w:val="17"/>
                <w:szCs w:val="17"/>
                <w:lang w:val="en-US"/>
              </w:rPr>
              <w:t>Número</w:t>
            </w:r>
            <w:proofErr w:type="spellEnd"/>
            <w:r w:rsidRPr="00296E53">
              <w:rPr>
                <w:rFonts w:ascii="Century Gothic" w:eastAsia="Times New Roman" w:hAnsi="Century Gothic" w:cs="Calibri"/>
                <w:color w:val="FFFFFF"/>
                <w:sz w:val="17"/>
                <w:szCs w:val="17"/>
                <w:lang w:val="en-US"/>
              </w:rPr>
              <w:t xml:space="preserve"> de Casos </w:t>
            </w:r>
            <w:proofErr w:type="spellStart"/>
            <w:r w:rsidRPr="00296E53">
              <w:rPr>
                <w:rFonts w:ascii="Century Gothic" w:eastAsia="Times New Roman" w:hAnsi="Century Gothic" w:cs="Calibri"/>
                <w:color w:val="FFFFFF"/>
                <w:sz w:val="17"/>
                <w:szCs w:val="17"/>
                <w:lang w:val="en-US"/>
              </w:rPr>
              <w:t>Totales</w:t>
            </w:r>
            <w:proofErr w:type="spellEnd"/>
          </w:p>
        </w:tc>
        <w:tc>
          <w:tcPr>
            <w:tcW w:w="709" w:type="dxa"/>
            <w:vMerge w:val="restart"/>
            <w:tcBorders>
              <w:top w:val="nil"/>
              <w:left w:val="single" w:sz="8" w:space="0" w:color="AEAAAA"/>
              <w:bottom w:val="single" w:sz="8" w:space="0" w:color="AEAAAA"/>
              <w:right w:val="single" w:sz="8" w:space="0" w:color="AEAAAA"/>
            </w:tcBorders>
            <w:shd w:val="clear" w:color="000000" w:fill="FFFFFF"/>
            <w:vAlign w:val="center"/>
            <w:hideMark/>
          </w:tcPr>
          <w:p w14:paraId="006A9563" w14:textId="47400F1A"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Alta</w:t>
            </w:r>
            <w:r w:rsidRPr="00296E53">
              <w:rPr>
                <w:rFonts w:ascii="Century Gothic" w:eastAsia="Times New Roman" w:hAnsi="Century Gothic" w:cs="Calibri"/>
                <w:color w:val="000000"/>
                <w:sz w:val="17"/>
                <w:szCs w:val="17"/>
                <w:lang w:val="en-US"/>
              </w:rPr>
              <w:br/>
              <w:t xml:space="preserve">[0-15) </w:t>
            </w:r>
            <w:r w:rsidRPr="00296E53">
              <w:rPr>
                <w:rFonts w:ascii="Century Gothic" w:eastAsia="Times New Roman" w:hAnsi="Century Gothic" w:cs="Calibri"/>
                <w:color w:val="000000"/>
                <w:sz w:val="17"/>
                <w:szCs w:val="17"/>
                <w:vertAlign w:val="superscript"/>
                <w:lang w:val="en-US"/>
              </w:rPr>
              <w:t>a/</w:t>
            </w:r>
          </w:p>
        </w:tc>
        <w:tc>
          <w:tcPr>
            <w:tcW w:w="1134"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13F1B502" w14:textId="5C4A30A5"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Moderada</w:t>
            </w:r>
            <w:proofErr w:type="spellEnd"/>
            <w:r w:rsidRPr="00296E53">
              <w:rPr>
                <w:rFonts w:ascii="Century Gothic" w:eastAsia="Times New Roman" w:hAnsi="Century Gothic" w:cs="Calibri"/>
                <w:color w:val="000000"/>
                <w:sz w:val="17"/>
                <w:szCs w:val="17"/>
                <w:lang w:val="en-US"/>
              </w:rPr>
              <w:t xml:space="preserve"> [15-30)</w:t>
            </w:r>
            <w:r w:rsidRPr="00296E53">
              <w:rPr>
                <w:rFonts w:ascii="Century Gothic" w:eastAsia="Times New Roman" w:hAnsi="Century Gothic" w:cs="Calibri"/>
                <w:b/>
                <w:bCs/>
                <w:color w:val="000000"/>
                <w:sz w:val="17"/>
                <w:szCs w:val="17"/>
                <w:vertAlign w:val="superscript"/>
                <w:lang w:val="en-US"/>
              </w:rPr>
              <w:t xml:space="preserve"> a/</w:t>
            </w:r>
          </w:p>
        </w:tc>
        <w:tc>
          <w:tcPr>
            <w:tcW w:w="708"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3AB9D07D" w14:textId="77777777"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Baja &gt;=30</w:t>
            </w:r>
            <w:r w:rsidRPr="00296E53">
              <w:rPr>
                <w:rFonts w:ascii="Century Gothic" w:eastAsia="Times New Roman" w:hAnsi="Century Gothic" w:cs="Calibri"/>
                <w:b/>
                <w:bCs/>
                <w:color w:val="000000"/>
                <w:sz w:val="17"/>
                <w:szCs w:val="17"/>
                <w:vertAlign w:val="superscript"/>
                <w:lang w:val="en-US"/>
              </w:rPr>
              <w:t xml:space="preserve"> a/</w:t>
            </w:r>
          </w:p>
        </w:tc>
      </w:tr>
      <w:tr w:rsidR="00DC50C6" w:rsidRPr="00296E53" w14:paraId="3FB5908C" w14:textId="77777777" w:rsidTr="00DC50C6">
        <w:trPr>
          <w:trHeight w:val="450"/>
        </w:trPr>
        <w:tc>
          <w:tcPr>
            <w:tcW w:w="999" w:type="dxa"/>
            <w:vMerge/>
            <w:tcBorders>
              <w:top w:val="single" w:sz="8" w:space="0" w:color="AEAAAA"/>
              <w:left w:val="single" w:sz="8" w:space="0" w:color="AEAAAA"/>
              <w:bottom w:val="single" w:sz="8" w:space="0" w:color="0F243E"/>
              <w:right w:val="single" w:sz="8" w:space="0" w:color="AEAAAA"/>
            </w:tcBorders>
            <w:vAlign w:val="center"/>
            <w:hideMark/>
          </w:tcPr>
          <w:p w14:paraId="20F24083"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1268" w:type="dxa"/>
            <w:vMerge/>
            <w:tcBorders>
              <w:top w:val="single" w:sz="8" w:space="0" w:color="AEAAAA"/>
              <w:left w:val="single" w:sz="8" w:space="0" w:color="AEAAAA"/>
              <w:bottom w:val="single" w:sz="8" w:space="0" w:color="0F243E"/>
              <w:right w:val="single" w:sz="8" w:space="0" w:color="AEAAAA"/>
            </w:tcBorders>
            <w:vAlign w:val="center"/>
            <w:hideMark/>
          </w:tcPr>
          <w:p w14:paraId="08A19944"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1150" w:type="dxa"/>
            <w:vMerge/>
            <w:tcBorders>
              <w:top w:val="single" w:sz="8" w:space="0" w:color="AEAAAA"/>
              <w:left w:val="single" w:sz="8" w:space="0" w:color="AEAAAA"/>
              <w:bottom w:val="single" w:sz="8" w:space="0" w:color="0F243E"/>
              <w:right w:val="single" w:sz="8" w:space="0" w:color="AEAAAA"/>
            </w:tcBorders>
            <w:vAlign w:val="center"/>
            <w:hideMark/>
          </w:tcPr>
          <w:p w14:paraId="3A81779B"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998" w:type="dxa"/>
            <w:vMerge/>
            <w:tcBorders>
              <w:top w:val="nil"/>
              <w:left w:val="single" w:sz="8" w:space="0" w:color="AEAAAA"/>
              <w:bottom w:val="single" w:sz="8" w:space="0" w:color="0F243E"/>
              <w:right w:val="single" w:sz="8" w:space="0" w:color="AEAAAA"/>
            </w:tcBorders>
            <w:vAlign w:val="center"/>
            <w:hideMark/>
          </w:tcPr>
          <w:p w14:paraId="13D64E1A"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820" w:type="dxa"/>
            <w:vMerge/>
            <w:tcBorders>
              <w:top w:val="nil"/>
              <w:left w:val="single" w:sz="8" w:space="0" w:color="AEAAAA"/>
              <w:bottom w:val="single" w:sz="8" w:space="0" w:color="0F243E"/>
              <w:right w:val="single" w:sz="8" w:space="0" w:color="AEAAAA"/>
            </w:tcBorders>
            <w:vAlign w:val="center"/>
            <w:hideMark/>
          </w:tcPr>
          <w:p w14:paraId="1F7EF84A"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1134" w:type="dxa"/>
            <w:vMerge/>
            <w:tcBorders>
              <w:top w:val="nil"/>
              <w:left w:val="single" w:sz="8" w:space="0" w:color="AEAAAA"/>
              <w:bottom w:val="single" w:sz="8" w:space="0" w:color="0F243E"/>
              <w:right w:val="single" w:sz="8" w:space="0" w:color="AEAAAA"/>
            </w:tcBorders>
            <w:vAlign w:val="center"/>
            <w:hideMark/>
          </w:tcPr>
          <w:p w14:paraId="6507F53D"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709" w:type="dxa"/>
            <w:vMerge/>
            <w:tcBorders>
              <w:top w:val="nil"/>
              <w:left w:val="single" w:sz="8" w:space="0" w:color="AEAAAA"/>
              <w:bottom w:val="single" w:sz="8" w:space="0" w:color="0F243E"/>
              <w:right w:val="single" w:sz="8" w:space="0" w:color="AEAAAA"/>
            </w:tcBorders>
            <w:vAlign w:val="center"/>
            <w:hideMark/>
          </w:tcPr>
          <w:p w14:paraId="7D581480"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992" w:type="dxa"/>
            <w:vMerge/>
            <w:tcBorders>
              <w:top w:val="nil"/>
              <w:left w:val="single" w:sz="8" w:space="0" w:color="AEAAAA"/>
              <w:bottom w:val="single" w:sz="8" w:space="0" w:color="0F243E"/>
              <w:right w:val="single" w:sz="8" w:space="0" w:color="AEAAAA"/>
            </w:tcBorders>
            <w:vAlign w:val="center"/>
            <w:hideMark/>
          </w:tcPr>
          <w:p w14:paraId="37176F8E"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709" w:type="dxa"/>
            <w:vMerge/>
            <w:tcBorders>
              <w:top w:val="nil"/>
              <w:left w:val="single" w:sz="8" w:space="0" w:color="AEAAAA"/>
              <w:bottom w:val="single" w:sz="8" w:space="0" w:color="0F243E"/>
              <w:right w:val="single" w:sz="8" w:space="0" w:color="AEAAAA"/>
            </w:tcBorders>
            <w:vAlign w:val="center"/>
            <w:hideMark/>
          </w:tcPr>
          <w:p w14:paraId="191F7A92"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1134" w:type="dxa"/>
            <w:vMerge/>
            <w:tcBorders>
              <w:top w:val="nil"/>
              <w:left w:val="single" w:sz="8" w:space="0" w:color="AEAAAA"/>
              <w:bottom w:val="single" w:sz="8" w:space="0" w:color="0F243E"/>
              <w:right w:val="single" w:sz="8" w:space="0" w:color="AEAAAA"/>
            </w:tcBorders>
            <w:vAlign w:val="center"/>
            <w:hideMark/>
          </w:tcPr>
          <w:p w14:paraId="67AE00AA"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709" w:type="dxa"/>
            <w:vMerge/>
            <w:tcBorders>
              <w:top w:val="nil"/>
              <w:left w:val="single" w:sz="8" w:space="0" w:color="AEAAAA"/>
              <w:bottom w:val="single" w:sz="8" w:space="0" w:color="0F243E"/>
              <w:right w:val="single" w:sz="8" w:space="0" w:color="AEAAAA"/>
            </w:tcBorders>
            <w:vAlign w:val="center"/>
            <w:hideMark/>
          </w:tcPr>
          <w:p w14:paraId="195C5A7E"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992" w:type="dxa"/>
            <w:vMerge/>
            <w:tcBorders>
              <w:top w:val="nil"/>
              <w:left w:val="single" w:sz="8" w:space="0" w:color="AEAAAA"/>
              <w:bottom w:val="single" w:sz="8" w:space="0" w:color="0F243E"/>
              <w:right w:val="single" w:sz="8" w:space="0" w:color="AEAAAA"/>
            </w:tcBorders>
            <w:vAlign w:val="center"/>
            <w:hideMark/>
          </w:tcPr>
          <w:p w14:paraId="07085A5C"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709" w:type="dxa"/>
            <w:vMerge/>
            <w:tcBorders>
              <w:top w:val="nil"/>
              <w:left w:val="single" w:sz="8" w:space="0" w:color="AEAAAA"/>
              <w:bottom w:val="single" w:sz="8" w:space="0" w:color="0F243E"/>
              <w:right w:val="single" w:sz="8" w:space="0" w:color="AEAAAA"/>
            </w:tcBorders>
            <w:vAlign w:val="center"/>
            <w:hideMark/>
          </w:tcPr>
          <w:p w14:paraId="667F32F1"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1134" w:type="dxa"/>
            <w:vMerge/>
            <w:tcBorders>
              <w:top w:val="nil"/>
              <w:left w:val="single" w:sz="8" w:space="0" w:color="AEAAAA"/>
              <w:bottom w:val="single" w:sz="8" w:space="0" w:color="0F243E"/>
              <w:right w:val="single" w:sz="8" w:space="0" w:color="AEAAAA"/>
            </w:tcBorders>
            <w:vAlign w:val="center"/>
            <w:hideMark/>
          </w:tcPr>
          <w:p w14:paraId="38D2383E"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708" w:type="dxa"/>
            <w:vMerge/>
            <w:tcBorders>
              <w:top w:val="nil"/>
              <w:left w:val="single" w:sz="8" w:space="0" w:color="AEAAAA"/>
              <w:bottom w:val="single" w:sz="8" w:space="0" w:color="0F243E"/>
              <w:right w:val="single" w:sz="8" w:space="0" w:color="AEAAAA"/>
            </w:tcBorders>
            <w:vAlign w:val="center"/>
            <w:hideMark/>
          </w:tcPr>
          <w:p w14:paraId="73C4838E"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r>
      <w:tr w:rsidR="00DC50C6" w:rsidRPr="00296E53" w14:paraId="3192BF82" w14:textId="77777777" w:rsidTr="00DC50C6">
        <w:trPr>
          <w:trHeight w:val="315"/>
        </w:trPr>
        <w:tc>
          <w:tcPr>
            <w:tcW w:w="999" w:type="dxa"/>
            <w:tcBorders>
              <w:top w:val="single" w:sz="8" w:space="0" w:color="0F243E"/>
              <w:left w:val="single" w:sz="8" w:space="0" w:color="0F243E"/>
            </w:tcBorders>
            <w:shd w:val="clear" w:color="000000" w:fill="D0CECE"/>
            <w:noWrap/>
            <w:vAlign w:val="center"/>
            <w:hideMark/>
          </w:tcPr>
          <w:p w14:paraId="337724A0"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268" w:type="dxa"/>
            <w:tcBorders>
              <w:top w:val="single" w:sz="8" w:space="0" w:color="0F243E"/>
            </w:tcBorders>
            <w:shd w:val="clear" w:color="000000" w:fill="D0CECE"/>
            <w:noWrap/>
            <w:vAlign w:val="center"/>
            <w:hideMark/>
          </w:tcPr>
          <w:p w14:paraId="7CC4D8D3"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Trienal</w:t>
            </w:r>
            <w:proofErr w:type="spellEnd"/>
          </w:p>
        </w:tc>
        <w:tc>
          <w:tcPr>
            <w:tcW w:w="1150" w:type="dxa"/>
            <w:tcBorders>
              <w:top w:val="single" w:sz="8" w:space="0" w:color="0F243E"/>
              <w:right w:val="single" w:sz="8" w:space="0" w:color="0F243E"/>
            </w:tcBorders>
            <w:shd w:val="clear" w:color="000000" w:fill="D0CECE"/>
            <w:noWrap/>
            <w:vAlign w:val="center"/>
            <w:hideMark/>
          </w:tcPr>
          <w:p w14:paraId="26BF1A87"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ENAID</w:t>
            </w:r>
          </w:p>
        </w:tc>
        <w:tc>
          <w:tcPr>
            <w:tcW w:w="998" w:type="dxa"/>
            <w:tcBorders>
              <w:top w:val="single" w:sz="8" w:space="0" w:color="0F243E"/>
              <w:left w:val="single" w:sz="8" w:space="0" w:color="0F243E"/>
            </w:tcBorders>
            <w:shd w:val="clear" w:color="000000" w:fill="D0CECE"/>
            <w:noWrap/>
            <w:vAlign w:val="center"/>
            <w:hideMark/>
          </w:tcPr>
          <w:p w14:paraId="0C697AE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single" w:sz="8" w:space="0" w:color="0F243E"/>
            </w:tcBorders>
            <w:shd w:val="clear" w:color="000000" w:fill="D0CECE"/>
            <w:noWrap/>
            <w:vAlign w:val="center"/>
            <w:hideMark/>
          </w:tcPr>
          <w:p w14:paraId="459C727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single" w:sz="8" w:space="0" w:color="0F243E"/>
            </w:tcBorders>
            <w:shd w:val="clear" w:color="000000" w:fill="D0CECE"/>
            <w:noWrap/>
            <w:vAlign w:val="center"/>
            <w:hideMark/>
          </w:tcPr>
          <w:p w14:paraId="1DE01FD1"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single" w:sz="8" w:space="0" w:color="0F243E"/>
              <w:right w:val="single" w:sz="8" w:space="0" w:color="0F243E"/>
            </w:tcBorders>
            <w:shd w:val="clear" w:color="000000" w:fill="D0CECE"/>
            <w:noWrap/>
            <w:vAlign w:val="center"/>
            <w:hideMark/>
          </w:tcPr>
          <w:p w14:paraId="3A314D9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single" w:sz="8" w:space="0" w:color="0F243E"/>
              <w:left w:val="single" w:sz="8" w:space="0" w:color="0F243E"/>
            </w:tcBorders>
            <w:shd w:val="clear" w:color="000000" w:fill="D0CECE"/>
            <w:vAlign w:val="center"/>
            <w:hideMark/>
          </w:tcPr>
          <w:p w14:paraId="1079C02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single" w:sz="8" w:space="0" w:color="0F243E"/>
            </w:tcBorders>
            <w:shd w:val="clear" w:color="000000" w:fill="D0CECE"/>
            <w:vAlign w:val="center"/>
            <w:hideMark/>
          </w:tcPr>
          <w:p w14:paraId="29CDFB3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single" w:sz="8" w:space="0" w:color="0F243E"/>
            </w:tcBorders>
            <w:shd w:val="clear" w:color="000000" w:fill="D0CECE"/>
            <w:vAlign w:val="center"/>
            <w:hideMark/>
          </w:tcPr>
          <w:p w14:paraId="5E2ABB9A"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single" w:sz="8" w:space="0" w:color="0F243E"/>
              <w:right w:val="single" w:sz="8" w:space="0" w:color="0F243E"/>
            </w:tcBorders>
            <w:shd w:val="clear" w:color="000000" w:fill="D0CECE"/>
            <w:vAlign w:val="center"/>
            <w:hideMark/>
          </w:tcPr>
          <w:p w14:paraId="286BE84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single" w:sz="8" w:space="0" w:color="0F243E"/>
              <w:left w:val="single" w:sz="8" w:space="0" w:color="0F243E"/>
            </w:tcBorders>
            <w:shd w:val="clear" w:color="000000" w:fill="D0CECE"/>
            <w:vAlign w:val="center"/>
            <w:hideMark/>
          </w:tcPr>
          <w:p w14:paraId="4EB9A8E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25</w:t>
            </w:r>
          </w:p>
        </w:tc>
        <w:tc>
          <w:tcPr>
            <w:tcW w:w="709" w:type="dxa"/>
            <w:tcBorders>
              <w:top w:val="single" w:sz="8" w:space="0" w:color="0F243E"/>
            </w:tcBorders>
            <w:shd w:val="clear" w:color="000000" w:fill="D0CECE"/>
            <w:vAlign w:val="center"/>
            <w:hideMark/>
          </w:tcPr>
          <w:p w14:paraId="439194F6" w14:textId="33C02062"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single" w:sz="8" w:space="0" w:color="0F243E"/>
            </w:tcBorders>
            <w:shd w:val="clear" w:color="000000" w:fill="D0CECE"/>
            <w:vAlign w:val="center"/>
            <w:hideMark/>
          </w:tcPr>
          <w:p w14:paraId="430C828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single" w:sz="8" w:space="0" w:color="0F243E"/>
              <w:right w:val="single" w:sz="8" w:space="0" w:color="0F243E"/>
            </w:tcBorders>
            <w:shd w:val="clear" w:color="000000" w:fill="D0CECE"/>
            <w:vAlign w:val="center"/>
            <w:hideMark/>
          </w:tcPr>
          <w:p w14:paraId="51F9254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6C0CCD8E" w14:textId="77777777" w:rsidTr="00DC50C6">
        <w:trPr>
          <w:trHeight w:val="300"/>
        </w:trPr>
        <w:tc>
          <w:tcPr>
            <w:tcW w:w="999" w:type="dxa"/>
            <w:tcBorders>
              <w:top w:val="nil"/>
              <w:left w:val="single" w:sz="8" w:space="0" w:color="0F243E"/>
            </w:tcBorders>
            <w:shd w:val="clear" w:color="000000" w:fill="FFFFFF"/>
            <w:noWrap/>
            <w:vAlign w:val="center"/>
            <w:hideMark/>
          </w:tcPr>
          <w:p w14:paraId="65C9AA20"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000000" w:fill="FFFFFF"/>
            <w:noWrap/>
            <w:vAlign w:val="center"/>
            <w:hideMark/>
          </w:tcPr>
          <w:p w14:paraId="04908DE8"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Trienal</w:t>
            </w:r>
            <w:proofErr w:type="spellEnd"/>
          </w:p>
        </w:tc>
        <w:tc>
          <w:tcPr>
            <w:tcW w:w="1150" w:type="dxa"/>
            <w:tcBorders>
              <w:top w:val="nil"/>
              <w:right w:val="single" w:sz="8" w:space="0" w:color="0F243E"/>
            </w:tcBorders>
            <w:shd w:val="clear" w:color="000000" w:fill="FFFFFF"/>
            <w:noWrap/>
            <w:vAlign w:val="center"/>
            <w:hideMark/>
          </w:tcPr>
          <w:p w14:paraId="38A0AF8F"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ENASEM</w:t>
            </w:r>
          </w:p>
        </w:tc>
        <w:tc>
          <w:tcPr>
            <w:tcW w:w="998" w:type="dxa"/>
            <w:tcBorders>
              <w:top w:val="nil"/>
              <w:left w:val="single" w:sz="8" w:space="0" w:color="0F243E"/>
            </w:tcBorders>
            <w:shd w:val="clear" w:color="000000" w:fill="FFFFFF"/>
            <w:noWrap/>
            <w:vAlign w:val="center"/>
            <w:hideMark/>
          </w:tcPr>
          <w:p w14:paraId="077BD63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FFFFFF"/>
            <w:noWrap/>
            <w:vAlign w:val="center"/>
            <w:hideMark/>
          </w:tcPr>
          <w:p w14:paraId="34D5F0F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FFFFFF"/>
            <w:noWrap/>
            <w:vAlign w:val="center"/>
            <w:hideMark/>
          </w:tcPr>
          <w:p w14:paraId="0E893C2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FFFFFF"/>
            <w:noWrap/>
            <w:vAlign w:val="center"/>
            <w:hideMark/>
          </w:tcPr>
          <w:p w14:paraId="41D5352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FFFFFF"/>
            <w:vAlign w:val="center"/>
            <w:hideMark/>
          </w:tcPr>
          <w:p w14:paraId="2B65E21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tcBorders>
            <w:shd w:val="clear" w:color="000000" w:fill="FFFFFF"/>
            <w:vAlign w:val="center"/>
            <w:hideMark/>
          </w:tcPr>
          <w:p w14:paraId="7E9FE8B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FFFFFF"/>
            <w:vAlign w:val="center"/>
            <w:hideMark/>
          </w:tcPr>
          <w:p w14:paraId="57AFBC8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FFFFFF"/>
            <w:vAlign w:val="center"/>
            <w:hideMark/>
          </w:tcPr>
          <w:p w14:paraId="0BE141AC"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FFFFFF"/>
            <w:vAlign w:val="center"/>
            <w:hideMark/>
          </w:tcPr>
          <w:p w14:paraId="5BA10BC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w:t>
            </w:r>
          </w:p>
        </w:tc>
        <w:tc>
          <w:tcPr>
            <w:tcW w:w="709" w:type="dxa"/>
            <w:tcBorders>
              <w:top w:val="nil"/>
            </w:tcBorders>
            <w:shd w:val="clear" w:color="000000" w:fill="FFFFFF"/>
            <w:vAlign w:val="center"/>
            <w:hideMark/>
          </w:tcPr>
          <w:p w14:paraId="4C4E604F" w14:textId="6CA72FA8"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FFFFFF"/>
            <w:vAlign w:val="center"/>
            <w:hideMark/>
          </w:tcPr>
          <w:p w14:paraId="75D1904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FFFFFF"/>
            <w:vAlign w:val="center"/>
            <w:hideMark/>
          </w:tcPr>
          <w:p w14:paraId="039A303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6E104EF1" w14:textId="77777777" w:rsidTr="00DC50C6">
        <w:trPr>
          <w:trHeight w:val="315"/>
        </w:trPr>
        <w:tc>
          <w:tcPr>
            <w:tcW w:w="999" w:type="dxa"/>
            <w:tcBorders>
              <w:top w:val="nil"/>
              <w:left w:val="single" w:sz="8" w:space="0" w:color="0F243E"/>
            </w:tcBorders>
            <w:shd w:val="clear" w:color="000000" w:fill="D0CECE"/>
            <w:noWrap/>
            <w:vAlign w:val="center"/>
            <w:hideMark/>
          </w:tcPr>
          <w:p w14:paraId="4236B925"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268" w:type="dxa"/>
            <w:tcBorders>
              <w:top w:val="nil"/>
            </w:tcBorders>
            <w:shd w:val="clear" w:color="000000" w:fill="D0CECE"/>
            <w:noWrap/>
            <w:vAlign w:val="center"/>
            <w:hideMark/>
          </w:tcPr>
          <w:p w14:paraId="4869A452"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Bienal</w:t>
            </w:r>
            <w:proofErr w:type="spellEnd"/>
          </w:p>
        </w:tc>
        <w:tc>
          <w:tcPr>
            <w:tcW w:w="1150" w:type="dxa"/>
            <w:tcBorders>
              <w:top w:val="nil"/>
              <w:right w:val="single" w:sz="8" w:space="0" w:color="0F243E"/>
            </w:tcBorders>
            <w:shd w:val="clear" w:color="000000" w:fill="D0CECE"/>
            <w:noWrap/>
            <w:vAlign w:val="center"/>
            <w:hideMark/>
          </w:tcPr>
          <w:p w14:paraId="17D1BC80"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ENCIG</w:t>
            </w:r>
          </w:p>
        </w:tc>
        <w:tc>
          <w:tcPr>
            <w:tcW w:w="998" w:type="dxa"/>
            <w:tcBorders>
              <w:top w:val="nil"/>
              <w:left w:val="single" w:sz="8" w:space="0" w:color="0F243E"/>
            </w:tcBorders>
            <w:shd w:val="clear" w:color="000000" w:fill="D0CECE"/>
            <w:noWrap/>
            <w:vAlign w:val="center"/>
            <w:hideMark/>
          </w:tcPr>
          <w:p w14:paraId="643944C1"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040F7A2E"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noWrap/>
            <w:vAlign w:val="center"/>
            <w:hideMark/>
          </w:tcPr>
          <w:p w14:paraId="60CEF6EC"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noWrap/>
            <w:vAlign w:val="center"/>
            <w:hideMark/>
          </w:tcPr>
          <w:p w14:paraId="7EE3AF1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7FC22DF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tcBorders>
            <w:shd w:val="clear" w:color="000000" w:fill="D0CECE"/>
            <w:vAlign w:val="center"/>
            <w:hideMark/>
          </w:tcPr>
          <w:p w14:paraId="576A9115"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vAlign w:val="center"/>
            <w:hideMark/>
          </w:tcPr>
          <w:p w14:paraId="2E4CB49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vAlign w:val="center"/>
            <w:hideMark/>
          </w:tcPr>
          <w:p w14:paraId="4FB7BB4C"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56993B4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264</w:t>
            </w:r>
          </w:p>
        </w:tc>
        <w:tc>
          <w:tcPr>
            <w:tcW w:w="709" w:type="dxa"/>
            <w:tcBorders>
              <w:top w:val="nil"/>
            </w:tcBorders>
            <w:shd w:val="clear" w:color="000000" w:fill="D0CECE"/>
            <w:vAlign w:val="center"/>
            <w:hideMark/>
          </w:tcPr>
          <w:p w14:paraId="4F842FD8" w14:textId="64DC3AFD"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1D2C4085"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D0CECE"/>
            <w:vAlign w:val="center"/>
            <w:hideMark/>
          </w:tcPr>
          <w:p w14:paraId="45B3F9FE"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2BD01ACE" w14:textId="77777777" w:rsidTr="00DC50C6">
        <w:trPr>
          <w:trHeight w:val="315"/>
        </w:trPr>
        <w:tc>
          <w:tcPr>
            <w:tcW w:w="999" w:type="dxa"/>
            <w:tcBorders>
              <w:top w:val="nil"/>
              <w:left w:val="single" w:sz="8" w:space="0" w:color="0F243E"/>
            </w:tcBorders>
            <w:shd w:val="clear" w:color="auto" w:fill="auto"/>
            <w:noWrap/>
            <w:vAlign w:val="center"/>
            <w:hideMark/>
          </w:tcPr>
          <w:p w14:paraId="02B16E10"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auto" w:fill="auto"/>
            <w:noWrap/>
            <w:vAlign w:val="center"/>
            <w:hideMark/>
          </w:tcPr>
          <w:p w14:paraId="6BD80EB0"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Mensual</w:t>
            </w:r>
            <w:proofErr w:type="spellEnd"/>
          </w:p>
        </w:tc>
        <w:tc>
          <w:tcPr>
            <w:tcW w:w="1150" w:type="dxa"/>
            <w:tcBorders>
              <w:top w:val="nil"/>
              <w:right w:val="single" w:sz="8" w:space="0" w:color="0F243E"/>
            </w:tcBorders>
            <w:shd w:val="clear" w:color="auto" w:fill="auto"/>
            <w:noWrap/>
            <w:vAlign w:val="center"/>
            <w:hideMark/>
          </w:tcPr>
          <w:p w14:paraId="5AB85C97"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ENCO</w:t>
            </w:r>
          </w:p>
        </w:tc>
        <w:tc>
          <w:tcPr>
            <w:tcW w:w="998" w:type="dxa"/>
            <w:tcBorders>
              <w:top w:val="nil"/>
              <w:left w:val="single" w:sz="8" w:space="0" w:color="0F243E"/>
            </w:tcBorders>
            <w:shd w:val="clear" w:color="auto" w:fill="auto"/>
            <w:noWrap/>
            <w:vAlign w:val="center"/>
            <w:hideMark/>
          </w:tcPr>
          <w:p w14:paraId="6DC4F7E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59</w:t>
            </w:r>
          </w:p>
        </w:tc>
        <w:tc>
          <w:tcPr>
            <w:tcW w:w="820" w:type="dxa"/>
            <w:tcBorders>
              <w:top w:val="nil"/>
            </w:tcBorders>
            <w:shd w:val="clear" w:color="auto" w:fill="auto"/>
            <w:noWrap/>
            <w:vAlign w:val="center"/>
            <w:hideMark/>
          </w:tcPr>
          <w:p w14:paraId="38682E97" w14:textId="0494F9A6"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noWrap/>
            <w:vAlign w:val="center"/>
            <w:hideMark/>
          </w:tcPr>
          <w:p w14:paraId="0FD03B7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right w:val="single" w:sz="8" w:space="0" w:color="0F243E"/>
            </w:tcBorders>
            <w:shd w:val="clear" w:color="auto" w:fill="auto"/>
            <w:noWrap/>
            <w:vAlign w:val="center"/>
            <w:hideMark/>
          </w:tcPr>
          <w:p w14:paraId="4286DBB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4AA7C2E3"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72</w:t>
            </w:r>
          </w:p>
        </w:tc>
        <w:tc>
          <w:tcPr>
            <w:tcW w:w="709" w:type="dxa"/>
            <w:tcBorders>
              <w:top w:val="nil"/>
            </w:tcBorders>
            <w:shd w:val="clear" w:color="auto" w:fill="auto"/>
            <w:vAlign w:val="center"/>
            <w:hideMark/>
          </w:tcPr>
          <w:p w14:paraId="20EC5C47" w14:textId="4EB624E6"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vAlign w:val="center"/>
            <w:hideMark/>
          </w:tcPr>
          <w:p w14:paraId="269CD32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right w:val="single" w:sz="8" w:space="0" w:color="0F243E"/>
            </w:tcBorders>
            <w:shd w:val="clear" w:color="auto" w:fill="auto"/>
            <w:vAlign w:val="center"/>
            <w:hideMark/>
          </w:tcPr>
          <w:p w14:paraId="695D645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3EDE7FDF"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48</w:t>
            </w:r>
          </w:p>
        </w:tc>
        <w:tc>
          <w:tcPr>
            <w:tcW w:w="709" w:type="dxa"/>
            <w:tcBorders>
              <w:top w:val="nil"/>
            </w:tcBorders>
            <w:shd w:val="clear" w:color="auto" w:fill="auto"/>
            <w:vAlign w:val="center"/>
            <w:hideMark/>
          </w:tcPr>
          <w:p w14:paraId="78DC5EEE" w14:textId="6FCFD898"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vAlign w:val="center"/>
            <w:hideMark/>
          </w:tcPr>
          <w:p w14:paraId="3932D74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auto" w:fill="auto"/>
            <w:vAlign w:val="center"/>
            <w:hideMark/>
          </w:tcPr>
          <w:p w14:paraId="6E78D01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53C3455F" w14:textId="77777777" w:rsidTr="00DC50C6">
        <w:trPr>
          <w:trHeight w:val="315"/>
        </w:trPr>
        <w:tc>
          <w:tcPr>
            <w:tcW w:w="999" w:type="dxa"/>
            <w:tcBorders>
              <w:top w:val="nil"/>
              <w:left w:val="single" w:sz="8" w:space="0" w:color="0F243E"/>
            </w:tcBorders>
            <w:shd w:val="clear" w:color="000000" w:fill="D0CECE"/>
            <w:noWrap/>
            <w:vAlign w:val="center"/>
            <w:hideMark/>
          </w:tcPr>
          <w:p w14:paraId="69A127E7"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68" w:type="dxa"/>
            <w:tcBorders>
              <w:top w:val="nil"/>
            </w:tcBorders>
            <w:shd w:val="clear" w:color="000000" w:fill="D0CECE"/>
            <w:noWrap/>
            <w:vAlign w:val="center"/>
            <w:hideMark/>
          </w:tcPr>
          <w:p w14:paraId="6684A54D"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150" w:type="dxa"/>
            <w:tcBorders>
              <w:top w:val="nil"/>
              <w:right w:val="single" w:sz="8" w:space="0" w:color="0F243E"/>
            </w:tcBorders>
            <w:shd w:val="clear" w:color="000000" w:fill="D0CECE"/>
            <w:noWrap/>
            <w:vAlign w:val="center"/>
            <w:hideMark/>
          </w:tcPr>
          <w:p w14:paraId="09C679C1"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ENDUTIH</w:t>
            </w:r>
          </w:p>
        </w:tc>
        <w:tc>
          <w:tcPr>
            <w:tcW w:w="998" w:type="dxa"/>
            <w:tcBorders>
              <w:top w:val="nil"/>
              <w:left w:val="single" w:sz="8" w:space="0" w:color="0F243E"/>
            </w:tcBorders>
            <w:shd w:val="clear" w:color="000000" w:fill="D0CECE"/>
            <w:noWrap/>
            <w:vAlign w:val="center"/>
            <w:hideMark/>
          </w:tcPr>
          <w:p w14:paraId="1E39A17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23F4A04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noWrap/>
            <w:vAlign w:val="center"/>
            <w:hideMark/>
          </w:tcPr>
          <w:p w14:paraId="7AB5D7A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noWrap/>
            <w:vAlign w:val="center"/>
            <w:hideMark/>
          </w:tcPr>
          <w:p w14:paraId="2D1DFD6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72901271"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1 043</w:t>
            </w:r>
          </w:p>
        </w:tc>
        <w:tc>
          <w:tcPr>
            <w:tcW w:w="709" w:type="dxa"/>
            <w:tcBorders>
              <w:top w:val="nil"/>
            </w:tcBorders>
            <w:shd w:val="clear" w:color="000000" w:fill="D0CECE"/>
            <w:vAlign w:val="center"/>
            <w:hideMark/>
          </w:tcPr>
          <w:p w14:paraId="1C205CB5" w14:textId="3CB258A8"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98%</w:t>
            </w:r>
          </w:p>
        </w:tc>
        <w:tc>
          <w:tcPr>
            <w:tcW w:w="1134" w:type="dxa"/>
            <w:tcBorders>
              <w:top w:val="nil"/>
            </w:tcBorders>
            <w:shd w:val="clear" w:color="000000" w:fill="D0CECE"/>
            <w:vAlign w:val="center"/>
            <w:hideMark/>
          </w:tcPr>
          <w:p w14:paraId="209155B6" w14:textId="20FFFB5A"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p>
        </w:tc>
        <w:tc>
          <w:tcPr>
            <w:tcW w:w="709" w:type="dxa"/>
            <w:tcBorders>
              <w:top w:val="nil"/>
              <w:right w:val="single" w:sz="8" w:space="0" w:color="0F243E"/>
            </w:tcBorders>
            <w:shd w:val="clear" w:color="000000" w:fill="D0CECE"/>
            <w:vAlign w:val="center"/>
            <w:hideMark/>
          </w:tcPr>
          <w:p w14:paraId="0291E55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000000" w:fill="D0CECE"/>
            <w:vAlign w:val="center"/>
            <w:hideMark/>
          </w:tcPr>
          <w:p w14:paraId="3216D866"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49</w:t>
            </w:r>
          </w:p>
        </w:tc>
        <w:tc>
          <w:tcPr>
            <w:tcW w:w="709" w:type="dxa"/>
            <w:tcBorders>
              <w:top w:val="nil"/>
            </w:tcBorders>
            <w:shd w:val="clear" w:color="000000" w:fill="D0CECE"/>
            <w:vAlign w:val="center"/>
            <w:hideMark/>
          </w:tcPr>
          <w:p w14:paraId="31788C96" w14:textId="13B53383"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78B6249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D0CECE"/>
            <w:vAlign w:val="center"/>
            <w:hideMark/>
          </w:tcPr>
          <w:p w14:paraId="7EA5B2DA"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1701BD48" w14:textId="77777777" w:rsidTr="00DC50C6">
        <w:trPr>
          <w:trHeight w:val="300"/>
        </w:trPr>
        <w:tc>
          <w:tcPr>
            <w:tcW w:w="999" w:type="dxa"/>
            <w:tcBorders>
              <w:top w:val="nil"/>
              <w:left w:val="single" w:sz="8" w:space="0" w:color="0F243E"/>
            </w:tcBorders>
            <w:shd w:val="clear" w:color="auto" w:fill="auto"/>
            <w:noWrap/>
            <w:vAlign w:val="center"/>
            <w:hideMark/>
          </w:tcPr>
          <w:p w14:paraId="05492BED"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auto" w:fill="auto"/>
            <w:noWrap/>
            <w:vAlign w:val="center"/>
            <w:hideMark/>
          </w:tcPr>
          <w:p w14:paraId="6326D17A"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Trimestral</w:t>
            </w:r>
          </w:p>
        </w:tc>
        <w:tc>
          <w:tcPr>
            <w:tcW w:w="1150" w:type="dxa"/>
            <w:tcBorders>
              <w:top w:val="nil"/>
              <w:right w:val="single" w:sz="8" w:space="0" w:color="0F243E"/>
            </w:tcBorders>
            <w:shd w:val="clear" w:color="auto" w:fill="auto"/>
            <w:noWrap/>
            <w:vAlign w:val="center"/>
            <w:hideMark/>
          </w:tcPr>
          <w:p w14:paraId="633F1FDE"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ENOE</w:t>
            </w:r>
          </w:p>
        </w:tc>
        <w:tc>
          <w:tcPr>
            <w:tcW w:w="998" w:type="dxa"/>
            <w:tcBorders>
              <w:top w:val="nil"/>
              <w:left w:val="single" w:sz="8" w:space="0" w:color="0F243E"/>
            </w:tcBorders>
            <w:shd w:val="clear" w:color="auto" w:fill="auto"/>
            <w:noWrap/>
            <w:vAlign w:val="center"/>
            <w:hideMark/>
          </w:tcPr>
          <w:p w14:paraId="07B66CB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878</w:t>
            </w:r>
          </w:p>
        </w:tc>
        <w:tc>
          <w:tcPr>
            <w:tcW w:w="820" w:type="dxa"/>
            <w:tcBorders>
              <w:top w:val="nil"/>
            </w:tcBorders>
            <w:shd w:val="clear" w:color="auto" w:fill="auto"/>
            <w:noWrap/>
            <w:vAlign w:val="center"/>
            <w:hideMark/>
          </w:tcPr>
          <w:p w14:paraId="7C75F6AE" w14:textId="623A0362"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98%</w:t>
            </w:r>
          </w:p>
        </w:tc>
        <w:tc>
          <w:tcPr>
            <w:tcW w:w="1134" w:type="dxa"/>
            <w:tcBorders>
              <w:top w:val="nil"/>
            </w:tcBorders>
            <w:shd w:val="clear" w:color="auto" w:fill="auto"/>
            <w:noWrap/>
            <w:vAlign w:val="center"/>
            <w:hideMark/>
          </w:tcPr>
          <w:p w14:paraId="54856C9E" w14:textId="66A0BBA3"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w:t>
            </w:r>
          </w:p>
        </w:tc>
        <w:tc>
          <w:tcPr>
            <w:tcW w:w="709" w:type="dxa"/>
            <w:tcBorders>
              <w:top w:val="nil"/>
              <w:right w:val="single" w:sz="8" w:space="0" w:color="0F243E"/>
            </w:tcBorders>
            <w:shd w:val="clear" w:color="auto" w:fill="auto"/>
            <w:noWrap/>
            <w:vAlign w:val="center"/>
            <w:hideMark/>
          </w:tcPr>
          <w:p w14:paraId="1DA4C98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55D441F8"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900</w:t>
            </w:r>
          </w:p>
        </w:tc>
        <w:tc>
          <w:tcPr>
            <w:tcW w:w="709" w:type="dxa"/>
            <w:tcBorders>
              <w:top w:val="nil"/>
            </w:tcBorders>
            <w:shd w:val="clear" w:color="auto" w:fill="auto"/>
            <w:vAlign w:val="center"/>
            <w:hideMark/>
          </w:tcPr>
          <w:p w14:paraId="4AF39F95" w14:textId="0271DC1B"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p>
        </w:tc>
        <w:tc>
          <w:tcPr>
            <w:tcW w:w="1134" w:type="dxa"/>
            <w:tcBorders>
              <w:top w:val="nil"/>
            </w:tcBorders>
            <w:shd w:val="clear" w:color="auto" w:fill="auto"/>
            <w:vAlign w:val="center"/>
            <w:hideMark/>
          </w:tcPr>
          <w:p w14:paraId="7F3E04D2" w14:textId="175A68C4"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p>
        </w:tc>
        <w:tc>
          <w:tcPr>
            <w:tcW w:w="709" w:type="dxa"/>
            <w:tcBorders>
              <w:top w:val="nil"/>
              <w:right w:val="single" w:sz="8" w:space="0" w:color="0F243E"/>
            </w:tcBorders>
            <w:shd w:val="clear" w:color="auto" w:fill="auto"/>
            <w:vAlign w:val="center"/>
            <w:hideMark/>
          </w:tcPr>
          <w:p w14:paraId="094BE97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404974B2"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612</w:t>
            </w:r>
          </w:p>
        </w:tc>
        <w:tc>
          <w:tcPr>
            <w:tcW w:w="709" w:type="dxa"/>
            <w:tcBorders>
              <w:top w:val="nil"/>
            </w:tcBorders>
            <w:shd w:val="clear" w:color="auto" w:fill="auto"/>
            <w:vAlign w:val="center"/>
            <w:hideMark/>
          </w:tcPr>
          <w:p w14:paraId="5D0E960C" w14:textId="2985D879"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p>
        </w:tc>
        <w:tc>
          <w:tcPr>
            <w:tcW w:w="1134" w:type="dxa"/>
            <w:tcBorders>
              <w:top w:val="nil"/>
            </w:tcBorders>
            <w:shd w:val="clear" w:color="auto" w:fill="auto"/>
            <w:vAlign w:val="center"/>
            <w:hideMark/>
          </w:tcPr>
          <w:p w14:paraId="139F2BD8" w14:textId="6EAFF40C"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p>
        </w:tc>
        <w:tc>
          <w:tcPr>
            <w:tcW w:w="708" w:type="dxa"/>
            <w:tcBorders>
              <w:top w:val="nil"/>
              <w:right w:val="single" w:sz="8" w:space="0" w:color="0F243E"/>
            </w:tcBorders>
            <w:shd w:val="clear" w:color="auto" w:fill="auto"/>
            <w:vAlign w:val="center"/>
            <w:hideMark/>
          </w:tcPr>
          <w:p w14:paraId="5C61BD0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043879DB" w14:textId="77777777" w:rsidTr="00DC50C6">
        <w:trPr>
          <w:trHeight w:val="315"/>
        </w:trPr>
        <w:tc>
          <w:tcPr>
            <w:tcW w:w="999" w:type="dxa"/>
            <w:tcBorders>
              <w:top w:val="nil"/>
              <w:left w:val="single" w:sz="8" w:space="0" w:color="0F243E"/>
            </w:tcBorders>
            <w:shd w:val="clear" w:color="000000" w:fill="D0CECE"/>
            <w:noWrap/>
            <w:vAlign w:val="center"/>
            <w:hideMark/>
          </w:tcPr>
          <w:p w14:paraId="38C730F9"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000000" w:fill="D0CECE"/>
            <w:noWrap/>
            <w:vAlign w:val="center"/>
            <w:hideMark/>
          </w:tcPr>
          <w:p w14:paraId="4CAE94AD"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Sexenal</w:t>
            </w:r>
            <w:proofErr w:type="spellEnd"/>
          </w:p>
        </w:tc>
        <w:tc>
          <w:tcPr>
            <w:tcW w:w="1150" w:type="dxa"/>
            <w:tcBorders>
              <w:top w:val="nil"/>
              <w:right w:val="single" w:sz="8" w:space="0" w:color="0F243E"/>
            </w:tcBorders>
            <w:shd w:val="clear" w:color="000000" w:fill="D0CECE"/>
            <w:noWrap/>
            <w:vAlign w:val="center"/>
            <w:hideMark/>
          </w:tcPr>
          <w:p w14:paraId="608A90FB"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ENSANUT</w:t>
            </w:r>
          </w:p>
        </w:tc>
        <w:tc>
          <w:tcPr>
            <w:tcW w:w="998" w:type="dxa"/>
            <w:tcBorders>
              <w:top w:val="nil"/>
              <w:left w:val="single" w:sz="8" w:space="0" w:color="0F243E"/>
            </w:tcBorders>
            <w:shd w:val="clear" w:color="000000" w:fill="D0CECE"/>
            <w:noWrap/>
            <w:vAlign w:val="center"/>
            <w:hideMark/>
          </w:tcPr>
          <w:p w14:paraId="3EE8C8B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036A1FE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noWrap/>
            <w:vAlign w:val="center"/>
            <w:hideMark/>
          </w:tcPr>
          <w:p w14:paraId="1955C213"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noWrap/>
            <w:vAlign w:val="center"/>
            <w:hideMark/>
          </w:tcPr>
          <w:p w14:paraId="0A03036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30A58E1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tcBorders>
            <w:shd w:val="clear" w:color="000000" w:fill="D0CECE"/>
            <w:vAlign w:val="center"/>
            <w:hideMark/>
          </w:tcPr>
          <w:p w14:paraId="5A48A06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vAlign w:val="center"/>
            <w:hideMark/>
          </w:tcPr>
          <w:p w14:paraId="2F3E9B63"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vAlign w:val="center"/>
            <w:hideMark/>
          </w:tcPr>
          <w:p w14:paraId="0FDBE42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01CBA48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20</w:t>
            </w:r>
          </w:p>
        </w:tc>
        <w:tc>
          <w:tcPr>
            <w:tcW w:w="709" w:type="dxa"/>
            <w:tcBorders>
              <w:top w:val="nil"/>
            </w:tcBorders>
            <w:shd w:val="clear" w:color="000000" w:fill="D0CECE"/>
            <w:vAlign w:val="center"/>
            <w:hideMark/>
          </w:tcPr>
          <w:p w14:paraId="7C747189" w14:textId="0ECE500F"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1A349D7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D0CECE"/>
            <w:vAlign w:val="center"/>
            <w:hideMark/>
          </w:tcPr>
          <w:p w14:paraId="6F88CE9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1B6A7657" w14:textId="77777777" w:rsidTr="00DC50C6">
        <w:trPr>
          <w:trHeight w:val="315"/>
        </w:trPr>
        <w:tc>
          <w:tcPr>
            <w:tcW w:w="999" w:type="dxa"/>
            <w:tcBorders>
              <w:top w:val="nil"/>
              <w:left w:val="single" w:sz="8" w:space="0" w:color="0F243E"/>
            </w:tcBorders>
            <w:shd w:val="clear" w:color="auto" w:fill="auto"/>
            <w:noWrap/>
            <w:vAlign w:val="center"/>
            <w:hideMark/>
          </w:tcPr>
          <w:p w14:paraId="05A76BF4"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268" w:type="dxa"/>
            <w:tcBorders>
              <w:top w:val="nil"/>
            </w:tcBorders>
            <w:shd w:val="clear" w:color="auto" w:fill="auto"/>
            <w:noWrap/>
            <w:vAlign w:val="center"/>
            <w:hideMark/>
          </w:tcPr>
          <w:p w14:paraId="02E51542"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Trimestral</w:t>
            </w:r>
          </w:p>
        </w:tc>
        <w:tc>
          <w:tcPr>
            <w:tcW w:w="1150" w:type="dxa"/>
            <w:tcBorders>
              <w:top w:val="nil"/>
              <w:right w:val="single" w:sz="8" w:space="0" w:color="0F243E"/>
            </w:tcBorders>
            <w:shd w:val="clear" w:color="auto" w:fill="auto"/>
            <w:noWrap/>
            <w:vAlign w:val="center"/>
            <w:hideMark/>
          </w:tcPr>
          <w:p w14:paraId="296D3F7F"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ENSU</w:t>
            </w:r>
          </w:p>
        </w:tc>
        <w:tc>
          <w:tcPr>
            <w:tcW w:w="998" w:type="dxa"/>
            <w:tcBorders>
              <w:top w:val="nil"/>
              <w:left w:val="single" w:sz="8" w:space="0" w:color="0F243E"/>
            </w:tcBorders>
            <w:shd w:val="clear" w:color="auto" w:fill="auto"/>
            <w:noWrap/>
            <w:vAlign w:val="center"/>
            <w:hideMark/>
          </w:tcPr>
          <w:p w14:paraId="5F29BFA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1 376</w:t>
            </w:r>
          </w:p>
        </w:tc>
        <w:tc>
          <w:tcPr>
            <w:tcW w:w="820" w:type="dxa"/>
            <w:tcBorders>
              <w:top w:val="nil"/>
            </w:tcBorders>
            <w:shd w:val="clear" w:color="auto" w:fill="auto"/>
            <w:noWrap/>
            <w:vAlign w:val="center"/>
            <w:hideMark/>
          </w:tcPr>
          <w:p w14:paraId="5FAA7CAD" w14:textId="478D18E8"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92%</w:t>
            </w:r>
          </w:p>
        </w:tc>
        <w:tc>
          <w:tcPr>
            <w:tcW w:w="1134" w:type="dxa"/>
            <w:tcBorders>
              <w:top w:val="nil"/>
            </w:tcBorders>
            <w:shd w:val="clear" w:color="auto" w:fill="auto"/>
            <w:noWrap/>
            <w:vAlign w:val="center"/>
            <w:hideMark/>
          </w:tcPr>
          <w:p w14:paraId="2A7DE139" w14:textId="3F4B51C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p>
        </w:tc>
        <w:tc>
          <w:tcPr>
            <w:tcW w:w="709" w:type="dxa"/>
            <w:tcBorders>
              <w:top w:val="nil"/>
              <w:right w:val="single" w:sz="8" w:space="0" w:color="0F243E"/>
            </w:tcBorders>
            <w:shd w:val="clear" w:color="auto" w:fill="auto"/>
            <w:noWrap/>
            <w:vAlign w:val="center"/>
            <w:hideMark/>
          </w:tcPr>
          <w:p w14:paraId="3A362285" w14:textId="0595611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06B3E" w:rsidRPr="00296E53">
              <w:rPr>
                <w:rFonts w:ascii="Century Gothic" w:eastAsia="Times New Roman" w:hAnsi="Century Gothic" w:cs="Calibri"/>
                <w:color w:val="000000"/>
                <w:sz w:val="17"/>
                <w:szCs w:val="17"/>
                <w:lang w:val="en-US"/>
              </w:rPr>
              <w:t>%</w:t>
            </w:r>
          </w:p>
        </w:tc>
        <w:tc>
          <w:tcPr>
            <w:tcW w:w="992" w:type="dxa"/>
            <w:tcBorders>
              <w:top w:val="nil"/>
              <w:left w:val="single" w:sz="8" w:space="0" w:color="0F243E"/>
            </w:tcBorders>
            <w:shd w:val="clear" w:color="auto" w:fill="auto"/>
            <w:vAlign w:val="center"/>
            <w:hideMark/>
          </w:tcPr>
          <w:p w14:paraId="49D727DA"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936</w:t>
            </w:r>
          </w:p>
        </w:tc>
        <w:tc>
          <w:tcPr>
            <w:tcW w:w="709" w:type="dxa"/>
            <w:tcBorders>
              <w:top w:val="nil"/>
            </w:tcBorders>
            <w:shd w:val="clear" w:color="auto" w:fill="auto"/>
            <w:vAlign w:val="center"/>
            <w:hideMark/>
          </w:tcPr>
          <w:p w14:paraId="5E20A05F" w14:textId="6515B46C"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92%</w:t>
            </w:r>
          </w:p>
        </w:tc>
        <w:tc>
          <w:tcPr>
            <w:tcW w:w="1134" w:type="dxa"/>
            <w:tcBorders>
              <w:top w:val="nil"/>
            </w:tcBorders>
            <w:shd w:val="clear" w:color="auto" w:fill="auto"/>
            <w:vAlign w:val="center"/>
            <w:hideMark/>
          </w:tcPr>
          <w:p w14:paraId="24B555F9" w14:textId="0CB7916B"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p>
        </w:tc>
        <w:tc>
          <w:tcPr>
            <w:tcW w:w="709" w:type="dxa"/>
            <w:tcBorders>
              <w:top w:val="nil"/>
              <w:right w:val="single" w:sz="8" w:space="0" w:color="0F243E"/>
            </w:tcBorders>
            <w:shd w:val="clear" w:color="auto" w:fill="auto"/>
            <w:vAlign w:val="center"/>
            <w:hideMark/>
          </w:tcPr>
          <w:p w14:paraId="5BAFF5CA" w14:textId="79527BDA"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p>
        </w:tc>
        <w:tc>
          <w:tcPr>
            <w:tcW w:w="992" w:type="dxa"/>
            <w:tcBorders>
              <w:top w:val="nil"/>
              <w:left w:val="single" w:sz="8" w:space="0" w:color="0F243E"/>
            </w:tcBorders>
            <w:shd w:val="clear" w:color="auto" w:fill="auto"/>
            <w:vAlign w:val="center"/>
            <w:hideMark/>
          </w:tcPr>
          <w:p w14:paraId="0875396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1044</w:t>
            </w:r>
          </w:p>
        </w:tc>
        <w:tc>
          <w:tcPr>
            <w:tcW w:w="709" w:type="dxa"/>
            <w:tcBorders>
              <w:top w:val="nil"/>
            </w:tcBorders>
            <w:shd w:val="clear" w:color="auto" w:fill="auto"/>
            <w:vAlign w:val="center"/>
            <w:hideMark/>
          </w:tcPr>
          <w:p w14:paraId="1427D0EE" w14:textId="1BE20879"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93%</w:t>
            </w:r>
          </w:p>
        </w:tc>
        <w:tc>
          <w:tcPr>
            <w:tcW w:w="1134" w:type="dxa"/>
            <w:tcBorders>
              <w:top w:val="nil"/>
            </w:tcBorders>
            <w:shd w:val="clear" w:color="auto" w:fill="auto"/>
            <w:vAlign w:val="center"/>
            <w:hideMark/>
          </w:tcPr>
          <w:p w14:paraId="5686E9E4" w14:textId="6F3250CA"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p>
        </w:tc>
        <w:tc>
          <w:tcPr>
            <w:tcW w:w="708" w:type="dxa"/>
            <w:tcBorders>
              <w:top w:val="nil"/>
              <w:right w:val="single" w:sz="8" w:space="0" w:color="0F243E"/>
            </w:tcBorders>
            <w:shd w:val="clear" w:color="auto" w:fill="auto"/>
            <w:vAlign w:val="center"/>
            <w:hideMark/>
          </w:tcPr>
          <w:p w14:paraId="10C7A8D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47F98488" w14:textId="77777777" w:rsidTr="00DC50C6">
        <w:trPr>
          <w:trHeight w:val="315"/>
        </w:trPr>
        <w:tc>
          <w:tcPr>
            <w:tcW w:w="999" w:type="dxa"/>
            <w:tcBorders>
              <w:top w:val="nil"/>
              <w:left w:val="single" w:sz="8" w:space="0" w:color="0F243E"/>
            </w:tcBorders>
            <w:shd w:val="clear" w:color="000000" w:fill="D0CECE"/>
            <w:noWrap/>
            <w:vAlign w:val="center"/>
            <w:hideMark/>
          </w:tcPr>
          <w:p w14:paraId="5E4AB1B5"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000000" w:fill="D0CECE"/>
            <w:noWrap/>
            <w:vAlign w:val="center"/>
            <w:hideMark/>
          </w:tcPr>
          <w:p w14:paraId="72905F3E"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Quinquenal</w:t>
            </w:r>
            <w:proofErr w:type="spellEnd"/>
          </w:p>
        </w:tc>
        <w:tc>
          <w:tcPr>
            <w:tcW w:w="1150" w:type="dxa"/>
            <w:tcBorders>
              <w:top w:val="nil"/>
              <w:right w:val="single" w:sz="8" w:space="0" w:color="0F243E"/>
            </w:tcBorders>
            <w:shd w:val="clear" w:color="000000" w:fill="D0CECE"/>
            <w:noWrap/>
            <w:vAlign w:val="center"/>
            <w:hideMark/>
          </w:tcPr>
          <w:p w14:paraId="27A2BC58"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ENUT</w:t>
            </w:r>
          </w:p>
        </w:tc>
        <w:tc>
          <w:tcPr>
            <w:tcW w:w="998" w:type="dxa"/>
            <w:tcBorders>
              <w:top w:val="nil"/>
              <w:left w:val="single" w:sz="8" w:space="0" w:color="0F243E"/>
            </w:tcBorders>
            <w:shd w:val="clear" w:color="000000" w:fill="D0CECE"/>
            <w:noWrap/>
            <w:vAlign w:val="center"/>
            <w:hideMark/>
          </w:tcPr>
          <w:p w14:paraId="29204853"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56834F2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noWrap/>
            <w:vAlign w:val="center"/>
            <w:hideMark/>
          </w:tcPr>
          <w:p w14:paraId="06804B1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noWrap/>
            <w:vAlign w:val="center"/>
            <w:hideMark/>
          </w:tcPr>
          <w:p w14:paraId="02CD3C2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1689374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tcBorders>
            <w:shd w:val="clear" w:color="000000" w:fill="D0CECE"/>
            <w:vAlign w:val="center"/>
            <w:hideMark/>
          </w:tcPr>
          <w:p w14:paraId="291A5E7C"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vAlign w:val="center"/>
            <w:hideMark/>
          </w:tcPr>
          <w:p w14:paraId="73A794A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vAlign w:val="center"/>
            <w:hideMark/>
          </w:tcPr>
          <w:p w14:paraId="7EFEFA85"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16DDCC83"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5</w:t>
            </w:r>
          </w:p>
        </w:tc>
        <w:tc>
          <w:tcPr>
            <w:tcW w:w="709" w:type="dxa"/>
            <w:tcBorders>
              <w:top w:val="nil"/>
            </w:tcBorders>
            <w:shd w:val="clear" w:color="000000" w:fill="D0CECE"/>
            <w:vAlign w:val="center"/>
            <w:hideMark/>
          </w:tcPr>
          <w:p w14:paraId="55FB6B5F" w14:textId="496BC633"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2952F4AE"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D0CECE"/>
            <w:vAlign w:val="center"/>
            <w:hideMark/>
          </w:tcPr>
          <w:p w14:paraId="6E81708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4662ED3C" w14:textId="77777777" w:rsidTr="00DC50C6">
        <w:trPr>
          <w:trHeight w:val="300"/>
        </w:trPr>
        <w:tc>
          <w:tcPr>
            <w:tcW w:w="999" w:type="dxa"/>
            <w:tcBorders>
              <w:top w:val="nil"/>
              <w:left w:val="single" w:sz="8" w:space="0" w:color="0F243E"/>
            </w:tcBorders>
            <w:shd w:val="clear" w:color="auto" w:fill="auto"/>
            <w:noWrap/>
            <w:vAlign w:val="center"/>
            <w:hideMark/>
          </w:tcPr>
          <w:p w14:paraId="4A5E40EE"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268" w:type="dxa"/>
            <w:tcBorders>
              <w:top w:val="nil"/>
            </w:tcBorders>
            <w:shd w:val="clear" w:color="auto" w:fill="auto"/>
            <w:noWrap/>
            <w:vAlign w:val="center"/>
            <w:hideMark/>
          </w:tcPr>
          <w:p w14:paraId="1CEDB70A"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150" w:type="dxa"/>
            <w:tcBorders>
              <w:top w:val="nil"/>
              <w:right w:val="single" w:sz="8" w:space="0" w:color="0F243E"/>
            </w:tcBorders>
            <w:shd w:val="clear" w:color="auto" w:fill="auto"/>
            <w:noWrap/>
            <w:vAlign w:val="center"/>
            <w:hideMark/>
          </w:tcPr>
          <w:p w14:paraId="6693C688"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ENVIPE</w:t>
            </w:r>
          </w:p>
        </w:tc>
        <w:tc>
          <w:tcPr>
            <w:tcW w:w="998" w:type="dxa"/>
            <w:tcBorders>
              <w:top w:val="nil"/>
              <w:left w:val="single" w:sz="8" w:space="0" w:color="0F243E"/>
            </w:tcBorders>
            <w:shd w:val="clear" w:color="auto" w:fill="auto"/>
            <w:noWrap/>
            <w:vAlign w:val="center"/>
            <w:hideMark/>
          </w:tcPr>
          <w:p w14:paraId="4E344FA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p>
        </w:tc>
        <w:tc>
          <w:tcPr>
            <w:tcW w:w="820" w:type="dxa"/>
            <w:tcBorders>
              <w:top w:val="nil"/>
            </w:tcBorders>
            <w:shd w:val="clear" w:color="auto" w:fill="auto"/>
            <w:noWrap/>
            <w:vAlign w:val="center"/>
            <w:hideMark/>
          </w:tcPr>
          <w:p w14:paraId="47E1C537" w14:textId="0B015F6A"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noWrap/>
            <w:vAlign w:val="center"/>
            <w:hideMark/>
          </w:tcPr>
          <w:p w14:paraId="3B57A44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right w:val="single" w:sz="8" w:space="0" w:color="0F243E"/>
            </w:tcBorders>
            <w:shd w:val="clear" w:color="auto" w:fill="auto"/>
            <w:noWrap/>
            <w:vAlign w:val="center"/>
            <w:hideMark/>
          </w:tcPr>
          <w:p w14:paraId="2C44F9DA"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6D31E86C"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p>
        </w:tc>
        <w:tc>
          <w:tcPr>
            <w:tcW w:w="709" w:type="dxa"/>
            <w:tcBorders>
              <w:top w:val="nil"/>
            </w:tcBorders>
            <w:shd w:val="clear" w:color="auto" w:fill="auto"/>
            <w:vAlign w:val="center"/>
            <w:hideMark/>
          </w:tcPr>
          <w:p w14:paraId="2EAE7B56" w14:textId="6C664D0F"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vAlign w:val="center"/>
            <w:hideMark/>
          </w:tcPr>
          <w:p w14:paraId="76BE4EB5"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right w:val="single" w:sz="8" w:space="0" w:color="0F243E"/>
            </w:tcBorders>
            <w:shd w:val="clear" w:color="auto" w:fill="auto"/>
            <w:vAlign w:val="center"/>
            <w:hideMark/>
          </w:tcPr>
          <w:p w14:paraId="7DDE65FE"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57FBC55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p>
        </w:tc>
        <w:tc>
          <w:tcPr>
            <w:tcW w:w="709" w:type="dxa"/>
            <w:tcBorders>
              <w:top w:val="nil"/>
            </w:tcBorders>
            <w:shd w:val="clear" w:color="auto" w:fill="auto"/>
            <w:vAlign w:val="center"/>
            <w:hideMark/>
          </w:tcPr>
          <w:p w14:paraId="70CFB057" w14:textId="469F6DDD"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vAlign w:val="center"/>
            <w:hideMark/>
          </w:tcPr>
          <w:p w14:paraId="6AACE9D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auto" w:fill="auto"/>
            <w:vAlign w:val="center"/>
            <w:hideMark/>
          </w:tcPr>
          <w:p w14:paraId="0694079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5AA6FB2A" w14:textId="77777777" w:rsidTr="00DC50C6">
        <w:trPr>
          <w:trHeight w:val="315"/>
        </w:trPr>
        <w:tc>
          <w:tcPr>
            <w:tcW w:w="999" w:type="dxa"/>
            <w:tcBorders>
              <w:top w:val="nil"/>
              <w:left w:val="single" w:sz="8" w:space="0" w:color="0F243E"/>
            </w:tcBorders>
            <w:shd w:val="clear" w:color="000000" w:fill="D0CECE"/>
            <w:noWrap/>
            <w:vAlign w:val="center"/>
            <w:hideMark/>
          </w:tcPr>
          <w:p w14:paraId="5C33F894"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268" w:type="dxa"/>
            <w:tcBorders>
              <w:top w:val="nil"/>
            </w:tcBorders>
            <w:shd w:val="clear" w:color="000000" w:fill="D0CECE"/>
            <w:noWrap/>
            <w:vAlign w:val="center"/>
            <w:hideMark/>
          </w:tcPr>
          <w:p w14:paraId="50D4212D"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150" w:type="dxa"/>
            <w:tcBorders>
              <w:top w:val="nil"/>
              <w:right w:val="single" w:sz="8" w:space="0" w:color="0F243E"/>
            </w:tcBorders>
            <w:shd w:val="clear" w:color="000000" w:fill="D0CECE"/>
            <w:noWrap/>
            <w:vAlign w:val="center"/>
            <w:hideMark/>
          </w:tcPr>
          <w:p w14:paraId="7509AC43"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MOCIBA</w:t>
            </w:r>
          </w:p>
        </w:tc>
        <w:tc>
          <w:tcPr>
            <w:tcW w:w="998" w:type="dxa"/>
            <w:tcBorders>
              <w:top w:val="nil"/>
              <w:left w:val="single" w:sz="8" w:space="0" w:color="0F243E"/>
            </w:tcBorders>
            <w:shd w:val="clear" w:color="000000" w:fill="D0CECE"/>
            <w:noWrap/>
            <w:vAlign w:val="center"/>
            <w:hideMark/>
          </w:tcPr>
          <w:p w14:paraId="0F227C4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3906860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noWrap/>
            <w:vAlign w:val="center"/>
            <w:hideMark/>
          </w:tcPr>
          <w:p w14:paraId="4A50E3B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noWrap/>
            <w:vAlign w:val="center"/>
            <w:hideMark/>
          </w:tcPr>
          <w:p w14:paraId="1C3D5C5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790B720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tcBorders>
            <w:shd w:val="clear" w:color="000000" w:fill="D0CECE"/>
            <w:vAlign w:val="center"/>
            <w:hideMark/>
          </w:tcPr>
          <w:p w14:paraId="4722783E"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vAlign w:val="center"/>
            <w:hideMark/>
          </w:tcPr>
          <w:p w14:paraId="106BCC8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vAlign w:val="center"/>
            <w:hideMark/>
          </w:tcPr>
          <w:p w14:paraId="1292F18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2A48734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p>
        </w:tc>
        <w:tc>
          <w:tcPr>
            <w:tcW w:w="709" w:type="dxa"/>
            <w:tcBorders>
              <w:top w:val="nil"/>
            </w:tcBorders>
            <w:shd w:val="clear" w:color="000000" w:fill="D0CECE"/>
            <w:vAlign w:val="center"/>
            <w:hideMark/>
          </w:tcPr>
          <w:p w14:paraId="387B3D37" w14:textId="6D46A13B"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6AE83953"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D0CECE"/>
            <w:vAlign w:val="center"/>
            <w:hideMark/>
          </w:tcPr>
          <w:p w14:paraId="69EC16E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55D74CB5" w14:textId="77777777" w:rsidTr="00DC50C6">
        <w:trPr>
          <w:trHeight w:val="315"/>
        </w:trPr>
        <w:tc>
          <w:tcPr>
            <w:tcW w:w="999" w:type="dxa"/>
            <w:tcBorders>
              <w:top w:val="nil"/>
              <w:left w:val="single" w:sz="8" w:space="0" w:color="0F243E"/>
            </w:tcBorders>
            <w:shd w:val="clear" w:color="auto" w:fill="auto"/>
            <w:noWrap/>
            <w:vAlign w:val="center"/>
            <w:hideMark/>
          </w:tcPr>
          <w:p w14:paraId="52FE6B06"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auto" w:fill="auto"/>
            <w:noWrap/>
            <w:vAlign w:val="center"/>
            <w:hideMark/>
          </w:tcPr>
          <w:p w14:paraId="055CAD2F"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150" w:type="dxa"/>
            <w:tcBorders>
              <w:top w:val="nil"/>
              <w:right w:val="single" w:sz="8" w:space="0" w:color="0F243E"/>
            </w:tcBorders>
            <w:shd w:val="clear" w:color="auto" w:fill="auto"/>
            <w:noWrap/>
            <w:vAlign w:val="center"/>
            <w:hideMark/>
          </w:tcPr>
          <w:p w14:paraId="4F6C9C0C"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MODECULT</w:t>
            </w:r>
          </w:p>
        </w:tc>
        <w:tc>
          <w:tcPr>
            <w:tcW w:w="998" w:type="dxa"/>
            <w:tcBorders>
              <w:top w:val="nil"/>
              <w:left w:val="single" w:sz="8" w:space="0" w:color="0F243E"/>
            </w:tcBorders>
            <w:shd w:val="clear" w:color="auto" w:fill="auto"/>
            <w:noWrap/>
            <w:vAlign w:val="center"/>
            <w:hideMark/>
          </w:tcPr>
          <w:p w14:paraId="14AB4623"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auto" w:fill="auto"/>
            <w:noWrap/>
            <w:vAlign w:val="center"/>
            <w:hideMark/>
          </w:tcPr>
          <w:p w14:paraId="09AE750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auto" w:fill="auto"/>
            <w:noWrap/>
            <w:vAlign w:val="center"/>
            <w:hideMark/>
          </w:tcPr>
          <w:p w14:paraId="04CC258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auto" w:fill="auto"/>
            <w:noWrap/>
            <w:vAlign w:val="center"/>
            <w:hideMark/>
          </w:tcPr>
          <w:p w14:paraId="26C83DF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auto" w:fill="auto"/>
            <w:vAlign w:val="center"/>
            <w:hideMark/>
          </w:tcPr>
          <w:p w14:paraId="6AFD7CED"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13</w:t>
            </w:r>
          </w:p>
        </w:tc>
        <w:tc>
          <w:tcPr>
            <w:tcW w:w="709" w:type="dxa"/>
            <w:tcBorders>
              <w:top w:val="nil"/>
            </w:tcBorders>
            <w:shd w:val="clear" w:color="auto" w:fill="auto"/>
            <w:vAlign w:val="center"/>
            <w:hideMark/>
          </w:tcPr>
          <w:p w14:paraId="19AE6E49" w14:textId="2BA723D3"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vAlign w:val="center"/>
            <w:hideMark/>
          </w:tcPr>
          <w:p w14:paraId="53C9A66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right w:val="single" w:sz="8" w:space="0" w:color="0F243E"/>
            </w:tcBorders>
            <w:shd w:val="clear" w:color="auto" w:fill="auto"/>
            <w:vAlign w:val="center"/>
            <w:hideMark/>
          </w:tcPr>
          <w:p w14:paraId="7A02C7D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57B962F0"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5</w:t>
            </w:r>
          </w:p>
        </w:tc>
        <w:tc>
          <w:tcPr>
            <w:tcW w:w="709" w:type="dxa"/>
            <w:tcBorders>
              <w:top w:val="nil"/>
            </w:tcBorders>
            <w:shd w:val="clear" w:color="auto" w:fill="auto"/>
            <w:vAlign w:val="center"/>
            <w:hideMark/>
          </w:tcPr>
          <w:p w14:paraId="7E157750" w14:textId="49A44E7E"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vAlign w:val="center"/>
            <w:hideMark/>
          </w:tcPr>
          <w:p w14:paraId="188F280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auto" w:fill="auto"/>
            <w:vAlign w:val="center"/>
            <w:hideMark/>
          </w:tcPr>
          <w:p w14:paraId="46FE969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271B2D7A" w14:textId="77777777" w:rsidTr="00DC50C6">
        <w:trPr>
          <w:trHeight w:val="300"/>
        </w:trPr>
        <w:tc>
          <w:tcPr>
            <w:tcW w:w="999" w:type="dxa"/>
            <w:tcBorders>
              <w:top w:val="nil"/>
              <w:left w:val="single" w:sz="8" w:space="0" w:color="0F243E"/>
            </w:tcBorders>
            <w:shd w:val="clear" w:color="000000" w:fill="D0CECE"/>
            <w:noWrap/>
            <w:vAlign w:val="center"/>
            <w:hideMark/>
          </w:tcPr>
          <w:p w14:paraId="3FA6AB8C"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000000" w:fill="D0CECE"/>
            <w:noWrap/>
            <w:vAlign w:val="center"/>
            <w:hideMark/>
          </w:tcPr>
          <w:p w14:paraId="780FF3FF"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150" w:type="dxa"/>
            <w:tcBorders>
              <w:top w:val="nil"/>
              <w:right w:val="single" w:sz="8" w:space="0" w:color="0F243E"/>
            </w:tcBorders>
            <w:shd w:val="clear" w:color="000000" w:fill="D0CECE"/>
            <w:noWrap/>
            <w:vAlign w:val="center"/>
            <w:hideMark/>
          </w:tcPr>
          <w:p w14:paraId="17106B2F"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MOLEC</w:t>
            </w:r>
          </w:p>
        </w:tc>
        <w:tc>
          <w:tcPr>
            <w:tcW w:w="998" w:type="dxa"/>
            <w:tcBorders>
              <w:top w:val="nil"/>
              <w:left w:val="single" w:sz="8" w:space="0" w:color="0F243E"/>
            </w:tcBorders>
            <w:shd w:val="clear" w:color="000000" w:fill="D0CECE"/>
            <w:noWrap/>
            <w:vAlign w:val="center"/>
            <w:hideMark/>
          </w:tcPr>
          <w:p w14:paraId="6BECB32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72A0D6A5"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noWrap/>
            <w:vAlign w:val="center"/>
            <w:hideMark/>
          </w:tcPr>
          <w:p w14:paraId="1F577A3E"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noWrap/>
            <w:vAlign w:val="center"/>
            <w:hideMark/>
          </w:tcPr>
          <w:p w14:paraId="79F9719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7186A7BB"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2</w:t>
            </w:r>
          </w:p>
        </w:tc>
        <w:tc>
          <w:tcPr>
            <w:tcW w:w="709" w:type="dxa"/>
            <w:tcBorders>
              <w:top w:val="nil"/>
            </w:tcBorders>
            <w:shd w:val="clear" w:color="000000" w:fill="D0CECE"/>
            <w:vAlign w:val="center"/>
            <w:hideMark/>
          </w:tcPr>
          <w:p w14:paraId="55DDAC0A" w14:textId="4616145E"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341DE64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right w:val="single" w:sz="8" w:space="0" w:color="0F243E"/>
            </w:tcBorders>
            <w:shd w:val="clear" w:color="000000" w:fill="D0CECE"/>
            <w:vAlign w:val="center"/>
            <w:hideMark/>
          </w:tcPr>
          <w:p w14:paraId="7A1737A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000000" w:fill="D0CECE"/>
            <w:vAlign w:val="center"/>
            <w:hideMark/>
          </w:tcPr>
          <w:p w14:paraId="67BF2562"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1</w:t>
            </w:r>
          </w:p>
        </w:tc>
        <w:tc>
          <w:tcPr>
            <w:tcW w:w="709" w:type="dxa"/>
            <w:tcBorders>
              <w:top w:val="nil"/>
            </w:tcBorders>
            <w:shd w:val="clear" w:color="000000" w:fill="D0CECE"/>
            <w:vAlign w:val="center"/>
            <w:hideMark/>
          </w:tcPr>
          <w:p w14:paraId="2B0A1C76" w14:textId="3F640D91"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3DF2980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D0CECE"/>
            <w:vAlign w:val="center"/>
            <w:hideMark/>
          </w:tcPr>
          <w:p w14:paraId="1EBE66F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1497E822" w14:textId="77777777" w:rsidTr="00DC50C6">
        <w:trPr>
          <w:trHeight w:val="300"/>
        </w:trPr>
        <w:tc>
          <w:tcPr>
            <w:tcW w:w="999" w:type="dxa"/>
            <w:tcBorders>
              <w:top w:val="nil"/>
              <w:left w:val="single" w:sz="8" w:space="0" w:color="0F243E"/>
              <w:bottom w:val="single" w:sz="8" w:space="0" w:color="0F243E"/>
            </w:tcBorders>
            <w:shd w:val="clear" w:color="auto" w:fill="auto"/>
            <w:noWrap/>
            <w:vAlign w:val="center"/>
            <w:hideMark/>
          </w:tcPr>
          <w:p w14:paraId="58AC7324"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bottom w:val="single" w:sz="8" w:space="0" w:color="0F243E"/>
            </w:tcBorders>
            <w:shd w:val="clear" w:color="auto" w:fill="auto"/>
            <w:noWrap/>
            <w:vAlign w:val="center"/>
            <w:hideMark/>
          </w:tcPr>
          <w:p w14:paraId="6ACA1367"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roofErr w:type="spellStart"/>
            <w:r w:rsidRPr="00296E53">
              <w:rPr>
                <w:rFonts w:ascii="Century Gothic" w:eastAsia="Times New Roman" w:hAnsi="Century Gothic" w:cs="Calibri"/>
                <w:color w:val="000000"/>
                <w:sz w:val="17"/>
                <w:szCs w:val="17"/>
                <w:lang w:val="en-US"/>
              </w:rPr>
              <w:t>Anual</w:t>
            </w:r>
            <w:proofErr w:type="spellEnd"/>
          </w:p>
        </w:tc>
        <w:tc>
          <w:tcPr>
            <w:tcW w:w="1150" w:type="dxa"/>
            <w:tcBorders>
              <w:top w:val="nil"/>
              <w:bottom w:val="single" w:sz="8" w:space="0" w:color="0F243E"/>
              <w:right w:val="single" w:sz="8" w:space="0" w:color="0F243E"/>
            </w:tcBorders>
            <w:shd w:val="clear" w:color="auto" w:fill="auto"/>
            <w:noWrap/>
            <w:vAlign w:val="center"/>
            <w:hideMark/>
          </w:tcPr>
          <w:p w14:paraId="655742C3"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MOPRADEF</w:t>
            </w:r>
          </w:p>
        </w:tc>
        <w:tc>
          <w:tcPr>
            <w:tcW w:w="998" w:type="dxa"/>
            <w:tcBorders>
              <w:top w:val="nil"/>
              <w:left w:val="single" w:sz="8" w:space="0" w:color="0F243E"/>
              <w:bottom w:val="single" w:sz="8" w:space="0" w:color="0F243E"/>
            </w:tcBorders>
            <w:shd w:val="clear" w:color="auto" w:fill="auto"/>
            <w:noWrap/>
            <w:vAlign w:val="center"/>
            <w:hideMark/>
          </w:tcPr>
          <w:p w14:paraId="5FA925DA"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bottom w:val="single" w:sz="8" w:space="0" w:color="0F243E"/>
            </w:tcBorders>
            <w:shd w:val="clear" w:color="auto" w:fill="auto"/>
            <w:noWrap/>
            <w:vAlign w:val="center"/>
            <w:hideMark/>
          </w:tcPr>
          <w:p w14:paraId="771E156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bottom w:val="single" w:sz="8" w:space="0" w:color="0F243E"/>
            </w:tcBorders>
            <w:shd w:val="clear" w:color="auto" w:fill="auto"/>
            <w:noWrap/>
            <w:vAlign w:val="center"/>
            <w:hideMark/>
          </w:tcPr>
          <w:p w14:paraId="5828F2C1"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bottom w:val="single" w:sz="8" w:space="0" w:color="0F243E"/>
              <w:right w:val="single" w:sz="8" w:space="0" w:color="0F243E"/>
            </w:tcBorders>
            <w:shd w:val="clear" w:color="auto" w:fill="auto"/>
            <w:noWrap/>
            <w:vAlign w:val="center"/>
            <w:hideMark/>
          </w:tcPr>
          <w:p w14:paraId="35F5AF3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bottom w:val="single" w:sz="8" w:space="0" w:color="0F243E"/>
            </w:tcBorders>
            <w:shd w:val="clear" w:color="auto" w:fill="auto"/>
            <w:vAlign w:val="center"/>
            <w:hideMark/>
          </w:tcPr>
          <w:p w14:paraId="2D4F369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w:t>
            </w:r>
          </w:p>
        </w:tc>
        <w:tc>
          <w:tcPr>
            <w:tcW w:w="709" w:type="dxa"/>
            <w:tcBorders>
              <w:top w:val="nil"/>
              <w:bottom w:val="single" w:sz="8" w:space="0" w:color="0F243E"/>
            </w:tcBorders>
            <w:shd w:val="clear" w:color="auto" w:fill="auto"/>
            <w:vAlign w:val="center"/>
            <w:hideMark/>
          </w:tcPr>
          <w:p w14:paraId="52EEB48B" w14:textId="58183543"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bottom w:val="single" w:sz="8" w:space="0" w:color="0F243E"/>
            </w:tcBorders>
            <w:shd w:val="clear" w:color="auto" w:fill="auto"/>
            <w:vAlign w:val="center"/>
            <w:hideMark/>
          </w:tcPr>
          <w:p w14:paraId="2A91295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bottom w:val="single" w:sz="8" w:space="0" w:color="0F243E"/>
              <w:right w:val="single" w:sz="8" w:space="0" w:color="0F243E"/>
            </w:tcBorders>
            <w:shd w:val="clear" w:color="auto" w:fill="auto"/>
            <w:vAlign w:val="center"/>
            <w:hideMark/>
          </w:tcPr>
          <w:p w14:paraId="1DEBB73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bottom w:val="single" w:sz="8" w:space="0" w:color="0F243E"/>
            </w:tcBorders>
            <w:shd w:val="clear" w:color="auto" w:fill="auto"/>
            <w:vAlign w:val="center"/>
            <w:hideMark/>
          </w:tcPr>
          <w:p w14:paraId="76E06CD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w:t>
            </w:r>
          </w:p>
        </w:tc>
        <w:tc>
          <w:tcPr>
            <w:tcW w:w="709" w:type="dxa"/>
            <w:tcBorders>
              <w:top w:val="nil"/>
              <w:bottom w:val="single" w:sz="8" w:space="0" w:color="0F243E"/>
            </w:tcBorders>
            <w:shd w:val="clear" w:color="auto" w:fill="auto"/>
            <w:vAlign w:val="center"/>
            <w:hideMark/>
          </w:tcPr>
          <w:p w14:paraId="1ABBF588" w14:textId="7C694CB0"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bottom w:val="single" w:sz="8" w:space="0" w:color="0F243E"/>
            </w:tcBorders>
            <w:shd w:val="clear" w:color="auto" w:fill="auto"/>
            <w:vAlign w:val="center"/>
            <w:hideMark/>
          </w:tcPr>
          <w:p w14:paraId="37C7274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bottom w:val="single" w:sz="8" w:space="0" w:color="0F243E"/>
              <w:right w:val="single" w:sz="8" w:space="0" w:color="0F243E"/>
            </w:tcBorders>
            <w:shd w:val="clear" w:color="auto" w:fill="auto"/>
            <w:vAlign w:val="center"/>
            <w:hideMark/>
          </w:tcPr>
          <w:p w14:paraId="6E3A32C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bl>
    <w:p w14:paraId="22B127AF" w14:textId="00780874" w:rsidR="00D952AA" w:rsidRPr="00296E53" w:rsidRDefault="00BE519D" w:rsidP="00D103B2">
      <w:pPr>
        <w:spacing w:after="0"/>
        <w:jc w:val="both"/>
        <w:rPr>
          <w:rFonts w:ascii="Century Gothic" w:eastAsia="Century Gothic" w:hAnsi="Century Gothic" w:cs="Century Gothic"/>
          <w:position w:val="4"/>
          <w:sz w:val="15"/>
          <w:szCs w:val="15"/>
        </w:rPr>
      </w:pPr>
      <w:r w:rsidRPr="00296E53">
        <w:rPr>
          <w:rFonts w:ascii="Century Gothic" w:eastAsia="Century Gothic" w:hAnsi="Century Gothic" w:cs="Century Gothic"/>
          <w:position w:val="4"/>
          <w:sz w:val="15"/>
          <w:szCs w:val="15"/>
        </w:rPr>
        <w:t>a/ Los umbrales para el Coeficiente de Variación aprobados por el Comité de Aseguramiento de la Calidad para las encuestas en hogares y otras unidades diferentes a las económicas</w:t>
      </w:r>
    </w:p>
    <w:p w14:paraId="5F70726A" w14:textId="5B9732D9"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2018, correspondientes a los indicadores registrados en metadatos durante ese año, independientemente del período de publicación de la información.</w:t>
      </w:r>
    </w:p>
    <w:p w14:paraId="77E2482D" w14:textId="621C4FEF"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2019, correspondientes a los indicadores registrados en metadatos durante ese año, independientemente del período de publicación de la información.</w:t>
      </w:r>
    </w:p>
    <w:p w14:paraId="3EF7CBA7" w14:textId="5D5743AB" w:rsidR="00D103B2"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corresponden a los indicadores registrados en metadatos durante el 2020, independientemente del período de publicación de la información.</w:t>
      </w:r>
    </w:p>
    <w:p w14:paraId="621933A8" w14:textId="77777777" w:rsidR="002207A6" w:rsidRPr="00296E53" w:rsidRDefault="002207A6" w:rsidP="002207A6">
      <w:pPr>
        <w:spacing w:after="0"/>
        <w:ind w:left="426" w:hanging="142"/>
        <w:jc w:val="both"/>
        <w:rPr>
          <w:rFonts w:ascii="Century Gothic" w:hAnsi="Century Gothic"/>
          <w:sz w:val="14"/>
          <w:szCs w:val="14"/>
        </w:rPr>
      </w:pPr>
      <w:r>
        <w:rPr>
          <w:rFonts w:ascii="Century Gothic" w:hAnsi="Century Gothic"/>
          <w:sz w:val="14"/>
          <w:szCs w:val="14"/>
        </w:rPr>
        <w:t>****El número de casos totales corresponde a la multiplicación de los indicadores objetivo por los dominios de estudio por el número de publicaciones durante el año.  Dado que en 2018 se comenzó la publicación de los indicadores de precisión estadística no se publicaron para los 12 meses, en 2019 se publicaron más de 12 meses ya que se reportaron los faltantes en 2018 y, en 2020 se publicaron conforme a lo mencionado en el cuadro A.6.2.</w:t>
      </w:r>
    </w:p>
    <w:p w14:paraId="64903F5A" w14:textId="7BDFA28C" w:rsidR="00301F0C" w:rsidRPr="00296E53" w:rsidRDefault="007D2CE9" w:rsidP="002207A6">
      <w:pPr>
        <w:spacing w:before="240"/>
        <w:jc w:val="both"/>
        <w:rPr>
          <w:rFonts w:ascii="Century Gothic" w:hAnsi="Century Gothic" w:cstheme="minorHAnsi"/>
          <w:sz w:val="19"/>
          <w:szCs w:val="19"/>
        </w:rPr>
      </w:pPr>
      <w:r w:rsidRPr="00296E53">
        <w:rPr>
          <w:rFonts w:ascii="Century Gothic" w:hAnsi="Century Gothic" w:cstheme="minorHAnsi"/>
          <w:sz w:val="19"/>
          <w:szCs w:val="19"/>
        </w:rPr>
        <w:t xml:space="preserve">El análisis de los Coeficientes de Variación -presentado en los cuadros </w:t>
      </w:r>
      <w:r w:rsidRPr="00296E53">
        <w:rPr>
          <w:rFonts w:ascii="Century Gothic" w:hAnsi="Century Gothic" w:cstheme="majorHAnsi"/>
          <w:sz w:val="19"/>
          <w:szCs w:val="19"/>
        </w:rPr>
        <w:t>A.6.4.</w:t>
      </w:r>
      <w:r w:rsidRPr="00296E53">
        <w:rPr>
          <w:rFonts w:ascii="Century Gothic" w:hAnsi="Century Gothic" w:cstheme="minorHAnsi"/>
          <w:sz w:val="19"/>
          <w:szCs w:val="19"/>
        </w:rPr>
        <w:t xml:space="preserve"> y </w:t>
      </w:r>
      <w:r w:rsidRPr="00296E53">
        <w:rPr>
          <w:rFonts w:ascii="Century Gothic" w:hAnsi="Century Gothic" w:cstheme="majorHAnsi"/>
          <w:sz w:val="19"/>
          <w:szCs w:val="19"/>
        </w:rPr>
        <w:t>A.6.5.</w:t>
      </w:r>
      <w:r w:rsidRPr="00296E53">
        <w:rPr>
          <w:rFonts w:ascii="Century Gothic" w:hAnsi="Century Gothic" w:cstheme="minorHAnsi"/>
          <w:sz w:val="19"/>
          <w:szCs w:val="19"/>
        </w:rPr>
        <w:t xml:space="preserve"> es complementado con su distribución por ciclo de Programa en las siguientes gráficas, donde se observa la distribución de los Coeficientes de Variación reportados para los indicadores de diseño en los dominios de estudio de la encuesta conforme a la periodicidad de cada encuesta. </w:t>
      </w:r>
      <w:r w:rsidR="0014637E" w:rsidRPr="00296E53">
        <w:rPr>
          <w:rFonts w:ascii="Century Gothic" w:hAnsi="Century Gothic" w:cstheme="majorHAnsi"/>
          <w:sz w:val="19"/>
          <w:szCs w:val="19"/>
        </w:rPr>
        <w:t>Así mismo, se perdió calidad estadística en varios dominios de estudio de los programas EMS y ENEC. Sin embargo, se mantuvo consistencia de un año a otro, en los umbrales de los Coeficientes de Variación en los programas de información publicados en el 2020</w:t>
      </w:r>
      <w:r w:rsidR="00301F0C" w:rsidRPr="00296E53">
        <w:rPr>
          <w:rFonts w:ascii="Century Gothic" w:hAnsi="Century Gothic" w:cstheme="minorHAnsi"/>
          <w:sz w:val="19"/>
          <w:szCs w:val="19"/>
        </w:rPr>
        <w:br w:type="page"/>
      </w:r>
    </w:p>
    <w:p w14:paraId="0CDB447A" w14:textId="77777777" w:rsidR="00C45773" w:rsidRPr="00296E53" w:rsidRDefault="00C45773" w:rsidP="00D41680">
      <w:pPr>
        <w:spacing w:before="240"/>
        <w:jc w:val="both"/>
        <w:rPr>
          <w:rFonts w:ascii="Century Gothic" w:hAnsi="Century Gothic" w:cstheme="minorHAnsi"/>
          <w:sz w:val="19"/>
          <w:szCs w:val="19"/>
        </w:rPr>
      </w:pPr>
    </w:p>
    <w:p w14:paraId="52DEC706" w14:textId="77777777" w:rsidR="00301F0C" w:rsidRPr="00296E53" w:rsidRDefault="00301F0C" w:rsidP="00301F0C">
      <w:pPr>
        <w:jc w:val="center"/>
        <w:rPr>
          <w:rFonts w:ascii="Century Gothic" w:hAnsi="Century Gothic" w:cstheme="majorHAnsi"/>
          <w:b/>
          <w:sz w:val="19"/>
          <w:szCs w:val="19"/>
        </w:rPr>
      </w:pPr>
      <w:r w:rsidRPr="00296E53">
        <w:rPr>
          <w:rFonts w:ascii="Century Gothic" w:hAnsi="Century Gothic" w:cstheme="majorHAnsi"/>
          <w:b/>
          <w:sz w:val="19"/>
          <w:szCs w:val="19"/>
        </w:rPr>
        <w:t xml:space="preserve">A.6.6. Distribución del Coeficiente de Variación en programas de información con observaciones superiores a 20% (escala 0-60) </w:t>
      </w:r>
    </w:p>
    <w:p w14:paraId="47860EB1" w14:textId="77777777" w:rsidR="00301F0C" w:rsidRPr="00296E53" w:rsidRDefault="00301F0C" w:rsidP="00301F0C">
      <w:pPr>
        <w:spacing w:before="240"/>
        <w:jc w:val="center"/>
        <w:rPr>
          <w:rFonts w:ascii="Century Gothic" w:hAnsi="Century Gothic" w:cstheme="minorHAnsi"/>
          <w:sz w:val="19"/>
          <w:szCs w:val="19"/>
        </w:rPr>
      </w:pPr>
      <w:r w:rsidRPr="00296E53">
        <w:rPr>
          <w:rFonts w:ascii="Century Gothic" w:hAnsi="Century Gothic" w:cstheme="minorHAnsi"/>
          <w:noProof/>
          <w:sz w:val="19"/>
          <w:szCs w:val="19"/>
          <w:lang w:eastAsia="es-MX"/>
        </w:rPr>
        <w:drawing>
          <wp:inline distT="0" distB="0" distL="0" distR="0" wp14:anchorId="3F41C875" wp14:editId="59B3F763">
            <wp:extent cx="8961125" cy="473377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v_mayores_20_5_de_5_mensual_trimestral.PNG"/>
                    <pic:cNvPicPr/>
                  </pic:nvPicPr>
                  <pic:blipFill>
                    <a:blip r:embed="rId31">
                      <a:extLst>
                        <a:ext uri="{28A0092B-C50C-407E-A947-70E740481C1C}">
                          <a14:useLocalDpi xmlns:a14="http://schemas.microsoft.com/office/drawing/2010/main" val="0"/>
                        </a:ext>
                      </a:extLst>
                    </a:blip>
                    <a:stretch>
                      <a:fillRect/>
                    </a:stretch>
                  </pic:blipFill>
                  <pic:spPr>
                    <a:xfrm>
                      <a:off x="0" y="0"/>
                      <a:ext cx="9022050" cy="4765962"/>
                    </a:xfrm>
                    <a:prstGeom prst="rect">
                      <a:avLst/>
                    </a:prstGeom>
                  </pic:spPr>
                </pic:pic>
              </a:graphicData>
            </a:graphic>
          </wp:inline>
        </w:drawing>
      </w:r>
    </w:p>
    <w:p w14:paraId="7CEE6A26" w14:textId="77777777" w:rsidR="00301F0C" w:rsidRPr="00296E53" w:rsidRDefault="00301F0C" w:rsidP="00301F0C">
      <w:pPr>
        <w:spacing w:before="240"/>
        <w:jc w:val="center"/>
        <w:rPr>
          <w:rFonts w:ascii="Century Gothic" w:hAnsi="Century Gothic" w:cstheme="minorHAnsi"/>
          <w:sz w:val="19"/>
          <w:szCs w:val="19"/>
        </w:rPr>
      </w:pPr>
      <w:r w:rsidRPr="00296E53">
        <w:rPr>
          <w:rFonts w:ascii="Century Gothic" w:hAnsi="Century Gothic" w:cstheme="minorHAnsi"/>
          <w:noProof/>
          <w:sz w:val="19"/>
          <w:szCs w:val="19"/>
          <w:lang w:eastAsia="es-MX"/>
        </w:rPr>
        <w:drawing>
          <wp:inline distT="0" distB="0" distL="0" distR="0" wp14:anchorId="6826645C" wp14:editId="23E4FDA2">
            <wp:extent cx="4681411" cy="3868243"/>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v_mayores_20_5_de_5_per_anual_o_mas.PNG"/>
                    <pic:cNvPicPr/>
                  </pic:nvPicPr>
                  <pic:blipFill>
                    <a:blip r:embed="rId32">
                      <a:extLst>
                        <a:ext uri="{28A0092B-C50C-407E-A947-70E740481C1C}">
                          <a14:useLocalDpi xmlns:a14="http://schemas.microsoft.com/office/drawing/2010/main" val="0"/>
                        </a:ext>
                      </a:extLst>
                    </a:blip>
                    <a:stretch>
                      <a:fillRect/>
                    </a:stretch>
                  </pic:blipFill>
                  <pic:spPr>
                    <a:xfrm>
                      <a:off x="0" y="0"/>
                      <a:ext cx="4756985" cy="3930689"/>
                    </a:xfrm>
                    <a:prstGeom prst="rect">
                      <a:avLst/>
                    </a:prstGeom>
                  </pic:spPr>
                </pic:pic>
              </a:graphicData>
            </a:graphic>
          </wp:inline>
        </w:drawing>
      </w:r>
    </w:p>
    <w:p w14:paraId="616B2971" w14:textId="77777777" w:rsidR="00301F0C" w:rsidRPr="00296E53" w:rsidRDefault="00301F0C" w:rsidP="00301F0C">
      <w:pPr>
        <w:jc w:val="center"/>
        <w:rPr>
          <w:rFonts w:ascii="Century Gothic" w:hAnsi="Century Gothic" w:cstheme="majorHAnsi"/>
          <w:b/>
          <w:sz w:val="19"/>
          <w:szCs w:val="19"/>
        </w:rPr>
      </w:pPr>
    </w:p>
    <w:p w14:paraId="6721B4C8" w14:textId="77777777" w:rsidR="0014637E" w:rsidRPr="00296E53" w:rsidRDefault="0014637E">
      <w:pPr>
        <w:rPr>
          <w:rFonts w:ascii="Century Gothic" w:hAnsi="Century Gothic" w:cstheme="majorHAnsi"/>
          <w:b/>
          <w:sz w:val="19"/>
          <w:szCs w:val="19"/>
        </w:rPr>
      </w:pPr>
      <w:r w:rsidRPr="00296E53">
        <w:rPr>
          <w:rFonts w:ascii="Century Gothic" w:hAnsi="Century Gothic" w:cstheme="majorHAnsi"/>
          <w:b/>
          <w:sz w:val="19"/>
          <w:szCs w:val="19"/>
        </w:rPr>
        <w:br w:type="page"/>
      </w:r>
    </w:p>
    <w:p w14:paraId="1321499B" w14:textId="77777777" w:rsidR="0014637E" w:rsidRPr="00296E53" w:rsidRDefault="0014637E" w:rsidP="0014637E">
      <w:pPr>
        <w:jc w:val="center"/>
        <w:rPr>
          <w:rFonts w:ascii="Century Gothic" w:hAnsi="Century Gothic" w:cstheme="majorHAnsi"/>
          <w:b/>
          <w:sz w:val="19"/>
          <w:szCs w:val="19"/>
        </w:rPr>
      </w:pPr>
      <w:r w:rsidRPr="00296E53">
        <w:rPr>
          <w:rFonts w:ascii="Century Gothic" w:hAnsi="Century Gothic" w:cstheme="majorHAnsi"/>
          <w:b/>
          <w:sz w:val="19"/>
          <w:szCs w:val="19"/>
        </w:rPr>
        <w:t xml:space="preserve">A.6.7. Distribución del Coeficiente de Variación en programas de información con observaciones inferiores a 20% (escala 0-30) </w:t>
      </w:r>
    </w:p>
    <w:p w14:paraId="7F1176D4" w14:textId="77777777" w:rsidR="00301F0C" w:rsidRPr="00296E53" w:rsidRDefault="0014637E" w:rsidP="00301F0C">
      <w:pPr>
        <w:jc w:val="center"/>
        <w:rPr>
          <w:rFonts w:ascii="Century Gothic" w:hAnsi="Century Gothic" w:cstheme="majorHAnsi"/>
          <w:b/>
          <w:sz w:val="19"/>
          <w:szCs w:val="19"/>
        </w:rPr>
      </w:pPr>
      <w:r w:rsidRPr="00296E53">
        <w:rPr>
          <w:rFonts w:ascii="Century Gothic" w:hAnsi="Century Gothic" w:cstheme="majorHAnsi"/>
          <w:b/>
          <w:noProof/>
          <w:sz w:val="19"/>
          <w:szCs w:val="19"/>
          <w:lang w:eastAsia="es-MX"/>
        </w:rPr>
        <w:drawing>
          <wp:inline distT="0" distB="0" distL="0" distR="0" wp14:anchorId="22E2EC05" wp14:editId="7685502F">
            <wp:extent cx="9102896" cy="4325816"/>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v_menores_20_primeros_8_de_15_per_anual_o_mas.PNG"/>
                    <pic:cNvPicPr/>
                  </pic:nvPicPr>
                  <pic:blipFill>
                    <a:blip r:embed="rId33">
                      <a:extLst>
                        <a:ext uri="{28A0092B-C50C-407E-A947-70E740481C1C}">
                          <a14:useLocalDpi xmlns:a14="http://schemas.microsoft.com/office/drawing/2010/main" val="0"/>
                        </a:ext>
                      </a:extLst>
                    </a:blip>
                    <a:stretch>
                      <a:fillRect/>
                    </a:stretch>
                  </pic:blipFill>
                  <pic:spPr>
                    <a:xfrm>
                      <a:off x="0" y="0"/>
                      <a:ext cx="9139481" cy="4343202"/>
                    </a:xfrm>
                    <a:prstGeom prst="rect">
                      <a:avLst/>
                    </a:prstGeom>
                  </pic:spPr>
                </pic:pic>
              </a:graphicData>
            </a:graphic>
          </wp:inline>
        </w:drawing>
      </w:r>
    </w:p>
    <w:p w14:paraId="5C0893B5" w14:textId="77777777" w:rsidR="00301F0C" w:rsidRPr="00296E53" w:rsidRDefault="00301F0C" w:rsidP="00D41680">
      <w:pPr>
        <w:spacing w:before="240"/>
        <w:jc w:val="both"/>
        <w:rPr>
          <w:rFonts w:ascii="Century Gothic" w:hAnsi="Century Gothic" w:cstheme="minorHAnsi"/>
          <w:sz w:val="19"/>
          <w:szCs w:val="19"/>
        </w:rPr>
      </w:pPr>
    </w:p>
    <w:p w14:paraId="501767C9" w14:textId="77777777" w:rsidR="00301F0C" w:rsidRPr="00296E53" w:rsidRDefault="0014637E" w:rsidP="00D41680">
      <w:pPr>
        <w:spacing w:before="240"/>
        <w:jc w:val="both"/>
        <w:rPr>
          <w:rFonts w:ascii="Century Gothic" w:hAnsi="Century Gothic" w:cstheme="minorHAnsi"/>
          <w:sz w:val="19"/>
          <w:szCs w:val="19"/>
        </w:rPr>
      </w:pPr>
      <w:r w:rsidRPr="00296E53">
        <w:rPr>
          <w:rFonts w:ascii="Century Gothic" w:hAnsi="Century Gothic" w:cstheme="majorHAnsi"/>
          <w:noProof/>
          <w:sz w:val="19"/>
          <w:szCs w:val="19"/>
          <w:lang w:eastAsia="es-MX"/>
        </w:rPr>
        <w:drawing>
          <wp:inline distT="0" distB="0" distL="0" distR="0" wp14:anchorId="73620924" wp14:editId="1305A3D7">
            <wp:extent cx="9214338" cy="4354108"/>
            <wp:effectExtent l="0" t="0" r="635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v_menores_20_segundo_15_de_15_per_anual_o_mas.PNG"/>
                    <pic:cNvPicPr/>
                  </pic:nvPicPr>
                  <pic:blipFill>
                    <a:blip r:embed="rId34">
                      <a:extLst>
                        <a:ext uri="{28A0092B-C50C-407E-A947-70E740481C1C}">
                          <a14:useLocalDpi xmlns:a14="http://schemas.microsoft.com/office/drawing/2010/main" val="0"/>
                        </a:ext>
                      </a:extLst>
                    </a:blip>
                    <a:stretch>
                      <a:fillRect/>
                    </a:stretch>
                  </pic:blipFill>
                  <pic:spPr>
                    <a:xfrm>
                      <a:off x="0" y="0"/>
                      <a:ext cx="9265155" cy="4378121"/>
                    </a:xfrm>
                    <a:prstGeom prst="rect">
                      <a:avLst/>
                    </a:prstGeom>
                  </pic:spPr>
                </pic:pic>
              </a:graphicData>
            </a:graphic>
          </wp:inline>
        </w:drawing>
      </w:r>
    </w:p>
    <w:p w14:paraId="2CF56C7A" w14:textId="77777777" w:rsidR="0014637E" w:rsidRPr="00296E53" w:rsidRDefault="0014637E" w:rsidP="00D41680">
      <w:pPr>
        <w:spacing w:before="240"/>
        <w:jc w:val="both"/>
        <w:rPr>
          <w:rFonts w:ascii="Century Gothic" w:hAnsi="Century Gothic" w:cstheme="minorHAnsi"/>
          <w:sz w:val="19"/>
          <w:szCs w:val="19"/>
        </w:rPr>
      </w:pPr>
    </w:p>
    <w:p w14:paraId="5E4F51B8" w14:textId="77777777" w:rsidR="0014637E" w:rsidRPr="00296E53" w:rsidRDefault="0014637E" w:rsidP="0014637E">
      <w:pPr>
        <w:spacing w:before="240"/>
        <w:jc w:val="center"/>
        <w:rPr>
          <w:rFonts w:ascii="Century Gothic" w:hAnsi="Century Gothic" w:cstheme="minorHAnsi"/>
          <w:sz w:val="19"/>
          <w:szCs w:val="19"/>
        </w:rPr>
      </w:pPr>
      <w:r w:rsidRPr="00296E53">
        <w:rPr>
          <w:rFonts w:ascii="Century Gothic" w:hAnsi="Century Gothic" w:cstheme="majorHAnsi"/>
          <w:noProof/>
          <w:sz w:val="19"/>
          <w:szCs w:val="19"/>
          <w:lang w:eastAsia="es-MX"/>
        </w:rPr>
        <w:drawing>
          <wp:inline distT="0" distB="0" distL="0" distR="0" wp14:anchorId="5A6B2906" wp14:editId="5C11B4AD">
            <wp:extent cx="7350369" cy="4808421"/>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v_menores_20_primero_5_de_5_mensual_trimestral.PNG"/>
                    <pic:cNvPicPr/>
                  </pic:nvPicPr>
                  <pic:blipFill>
                    <a:blip r:embed="rId35">
                      <a:extLst>
                        <a:ext uri="{28A0092B-C50C-407E-A947-70E740481C1C}">
                          <a14:useLocalDpi xmlns:a14="http://schemas.microsoft.com/office/drawing/2010/main" val="0"/>
                        </a:ext>
                      </a:extLst>
                    </a:blip>
                    <a:stretch>
                      <a:fillRect/>
                    </a:stretch>
                  </pic:blipFill>
                  <pic:spPr>
                    <a:xfrm>
                      <a:off x="0" y="0"/>
                      <a:ext cx="7364304" cy="4817537"/>
                    </a:xfrm>
                    <a:prstGeom prst="rect">
                      <a:avLst/>
                    </a:prstGeom>
                  </pic:spPr>
                </pic:pic>
              </a:graphicData>
            </a:graphic>
          </wp:inline>
        </w:drawing>
      </w:r>
    </w:p>
    <w:p w14:paraId="23FEF209" w14:textId="77777777" w:rsidR="004903C2" w:rsidRPr="00296E53" w:rsidRDefault="004903C2">
      <w:pPr>
        <w:rPr>
          <w:rFonts w:ascii="Century Gothic" w:hAnsi="Century Gothic" w:cstheme="majorHAnsi"/>
          <w:b/>
          <w:sz w:val="19"/>
          <w:szCs w:val="19"/>
        </w:rPr>
      </w:pPr>
    </w:p>
    <w:p w14:paraId="06981638" w14:textId="77777777" w:rsidR="004903C2" w:rsidRPr="00296E53" w:rsidRDefault="004903C2" w:rsidP="004903C2">
      <w:pPr>
        <w:spacing w:before="120"/>
        <w:jc w:val="both"/>
        <w:rPr>
          <w:rFonts w:ascii="Century Gothic" w:hAnsi="Century Gothic" w:cstheme="majorHAnsi"/>
          <w:b/>
          <w:sz w:val="19"/>
          <w:szCs w:val="19"/>
        </w:rPr>
      </w:pPr>
      <w:r w:rsidRPr="00296E53">
        <w:rPr>
          <w:rFonts w:ascii="Century Gothic" w:hAnsi="Century Gothic" w:cstheme="majorHAnsi"/>
          <w:b/>
          <w:sz w:val="19"/>
          <w:szCs w:val="19"/>
        </w:rPr>
        <w:t>INDICADORES DE USO INTERNO</w:t>
      </w:r>
    </w:p>
    <w:p w14:paraId="139918BF" w14:textId="70D9FB49" w:rsidR="004903C2" w:rsidRPr="00296E53" w:rsidRDefault="004903C2" w:rsidP="004903C2">
      <w:pPr>
        <w:spacing w:before="120"/>
        <w:jc w:val="both"/>
        <w:rPr>
          <w:rFonts w:ascii="Century Gothic" w:hAnsi="Century Gothic" w:cstheme="majorHAnsi"/>
          <w:sz w:val="19"/>
          <w:szCs w:val="19"/>
        </w:rPr>
      </w:pPr>
      <w:r w:rsidRPr="00296E53">
        <w:rPr>
          <w:rFonts w:ascii="Century Gothic" w:hAnsi="Century Gothic" w:cstheme="majorHAnsi"/>
          <w:sz w:val="19"/>
          <w:szCs w:val="19"/>
        </w:rPr>
        <w:t>Con el fin de dar un resumen general de los indicadores de uso interno, en el cuadro A.6.8.</w:t>
      </w:r>
      <w:r w:rsidR="00915E45" w:rsidRPr="00296E53">
        <w:rPr>
          <w:rFonts w:ascii="Century Gothic" w:hAnsi="Century Gothic" w:cstheme="majorHAnsi"/>
          <w:sz w:val="19"/>
          <w:szCs w:val="19"/>
        </w:rPr>
        <w:t>,</w:t>
      </w:r>
      <w:r w:rsidRPr="00296E53">
        <w:rPr>
          <w:rFonts w:ascii="Century Gothic" w:hAnsi="Century Gothic" w:cstheme="majorHAnsi"/>
          <w:sz w:val="19"/>
          <w:szCs w:val="19"/>
        </w:rPr>
        <w:t xml:space="preserve"> se presenta para cada encuesta el promedio de las tasas reportadas durante 2020: la tasa de no respuesta antes de imputación (ponderada); la tasa de imputación, la tasa de </w:t>
      </w:r>
      <w:proofErr w:type="spellStart"/>
      <w:r w:rsidRPr="00296E53">
        <w:rPr>
          <w:rFonts w:ascii="Century Gothic" w:hAnsi="Century Gothic" w:cstheme="majorHAnsi"/>
          <w:sz w:val="19"/>
          <w:szCs w:val="19"/>
        </w:rPr>
        <w:t>sobrecobertura</w:t>
      </w:r>
      <w:proofErr w:type="spellEnd"/>
      <w:r w:rsidRPr="00296E53">
        <w:rPr>
          <w:rFonts w:ascii="Century Gothic" w:hAnsi="Century Gothic" w:cstheme="majorHAnsi"/>
          <w:sz w:val="19"/>
          <w:szCs w:val="19"/>
        </w:rPr>
        <w:t xml:space="preserve"> </w:t>
      </w:r>
      <w:r w:rsidR="00D45B6A" w:rsidRPr="00296E53">
        <w:rPr>
          <w:rFonts w:ascii="Century Gothic" w:hAnsi="Century Gothic" w:cstheme="majorHAnsi"/>
          <w:sz w:val="19"/>
          <w:szCs w:val="19"/>
        </w:rPr>
        <w:t>(</w:t>
      </w:r>
      <w:r w:rsidRPr="00296E53">
        <w:rPr>
          <w:rFonts w:ascii="Century Gothic" w:hAnsi="Century Gothic" w:cstheme="majorHAnsi"/>
          <w:sz w:val="19"/>
          <w:szCs w:val="19"/>
        </w:rPr>
        <w:t>ponderada</w:t>
      </w:r>
      <w:r w:rsidR="00D45B6A" w:rsidRPr="00296E53">
        <w:rPr>
          <w:rFonts w:ascii="Century Gothic" w:hAnsi="Century Gothic" w:cstheme="majorHAnsi"/>
          <w:sz w:val="19"/>
          <w:szCs w:val="19"/>
        </w:rPr>
        <w:t>)</w:t>
      </w:r>
      <w:r w:rsidRPr="00296E53">
        <w:rPr>
          <w:rFonts w:ascii="Century Gothic" w:hAnsi="Century Gothic" w:cstheme="majorHAnsi"/>
          <w:sz w:val="19"/>
          <w:szCs w:val="19"/>
        </w:rPr>
        <w:t xml:space="preserve"> y la tasa de cumplimiento mínimo de la muestra. Como referencia para la interpretación, en el cuadro se presenta la tasa de no respuesta esperada conforme a los documentos públicos del diseño muestral.</w:t>
      </w:r>
    </w:p>
    <w:p w14:paraId="735705EA" w14:textId="4F8B06F8" w:rsidR="00985113" w:rsidRPr="00296E53" w:rsidRDefault="00985113" w:rsidP="00985113">
      <w:pPr>
        <w:jc w:val="both"/>
        <w:rPr>
          <w:rFonts w:ascii="Century Gothic" w:hAnsi="Century Gothic" w:cstheme="minorHAnsi"/>
          <w:sz w:val="19"/>
          <w:szCs w:val="19"/>
        </w:rPr>
      </w:pPr>
      <w:r w:rsidRPr="00296E53">
        <w:rPr>
          <w:rFonts w:ascii="Century Gothic" w:hAnsi="Century Gothic" w:cstheme="minorHAnsi"/>
          <w:sz w:val="19"/>
          <w:szCs w:val="19"/>
        </w:rPr>
        <w:t>En el cuadro A.6.8., se observa que varios programas de información superan la tasa de no respuesta máxima esperada considerada en su diseño estadístico. Asimismo, se observa un alza importante en las tasas de imputación para los programas de información en unidades económicas y llama la atención que las tasas de cobertura se encuentren con un porcentaje de cero ya que la ECRIGE-CDMX, que maneja similares unidades de observación, refleja una alta tasa en este rubro. En relación con la tasa de no respuesta, se observa una disminución importante en las tasas de cumplimiento de la muestra mínima. El resultado esperado es que se encuentren con un cumplimiento mayor o igual a cien por ciento, debido a que en el cálculo de este indicador no se considera la sobreestimación del tamaño de muestra, el cual solventa el efecto de la no respuesta. Destaca el caso de la ENSANUT con la tasa de cumplimiento de la muestra mínima más baja, sin embargo, presenta estimaciones con coeficientes de variación en el umbral de precisión alta, debido a la agrupación por regiones que se aplic</w:t>
      </w:r>
      <w:r w:rsidR="00D45B6A" w:rsidRPr="00296E53">
        <w:rPr>
          <w:rFonts w:ascii="Century Gothic" w:hAnsi="Century Gothic" w:cstheme="minorHAnsi"/>
          <w:sz w:val="19"/>
          <w:szCs w:val="19"/>
        </w:rPr>
        <w:t>ó</w:t>
      </w:r>
      <w:r w:rsidRPr="00296E53">
        <w:rPr>
          <w:rFonts w:ascii="Century Gothic" w:hAnsi="Century Gothic" w:cstheme="minorHAnsi"/>
          <w:sz w:val="19"/>
          <w:szCs w:val="19"/>
        </w:rPr>
        <w:t>.</w:t>
      </w:r>
    </w:p>
    <w:p w14:paraId="6C8ADA7D" w14:textId="77777777" w:rsidR="002E4DA1" w:rsidRPr="00296E53" w:rsidRDefault="00985113" w:rsidP="00985113">
      <w:pPr>
        <w:spacing w:before="120"/>
        <w:jc w:val="both"/>
        <w:rPr>
          <w:rFonts w:ascii="Century Gothic" w:hAnsi="Century Gothic" w:cstheme="majorHAnsi"/>
          <w:sz w:val="19"/>
          <w:szCs w:val="19"/>
        </w:rPr>
      </w:pPr>
      <w:r w:rsidRPr="00296E53">
        <w:rPr>
          <w:rFonts w:ascii="Century Gothic" w:hAnsi="Century Gothic" w:cstheme="minorHAnsi"/>
          <w:sz w:val="19"/>
          <w:szCs w:val="19"/>
        </w:rPr>
        <w:t>Es importante referir que varios programas de información continúan sin reportaron indicadores de calidad, lo cual es preocupante, ya que no se conoce el estado que guardan sus estadísticas.</w:t>
      </w:r>
    </w:p>
    <w:p w14:paraId="25ECF09D" w14:textId="759E8BFB" w:rsidR="004903C2" w:rsidRPr="00296E53" w:rsidRDefault="004903C2" w:rsidP="00E956FE">
      <w:pPr>
        <w:jc w:val="center"/>
        <w:rPr>
          <w:rFonts w:ascii="Century Gothic" w:hAnsi="Century Gothic" w:cstheme="majorHAnsi"/>
          <w:b/>
          <w:sz w:val="19"/>
          <w:szCs w:val="19"/>
        </w:rPr>
      </w:pPr>
      <w:r w:rsidRPr="00296E53">
        <w:rPr>
          <w:rFonts w:ascii="Century Gothic" w:hAnsi="Century Gothic" w:cstheme="majorHAnsi"/>
          <w:b/>
          <w:sz w:val="19"/>
          <w:szCs w:val="19"/>
        </w:rPr>
        <w:t xml:space="preserve">A.6.8. Promedio de las tasas de No respuesta antes de imputación, Imputación, </w:t>
      </w:r>
      <w:proofErr w:type="spellStart"/>
      <w:r w:rsidRPr="00296E53">
        <w:rPr>
          <w:rFonts w:ascii="Century Gothic" w:hAnsi="Century Gothic" w:cstheme="majorHAnsi"/>
          <w:b/>
          <w:sz w:val="19"/>
          <w:szCs w:val="19"/>
        </w:rPr>
        <w:t>Sobrecobertura</w:t>
      </w:r>
      <w:proofErr w:type="spellEnd"/>
      <w:r w:rsidRPr="00296E53">
        <w:rPr>
          <w:rFonts w:ascii="Century Gothic" w:hAnsi="Century Gothic" w:cstheme="majorHAnsi"/>
          <w:b/>
          <w:sz w:val="19"/>
          <w:szCs w:val="19"/>
        </w:rPr>
        <w:t xml:space="preserve"> y Cumplimiento mínimo de la muestra </w:t>
      </w:r>
    </w:p>
    <w:tbl>
      <w:tblPr>
        <w:tblW w:w="13220" w:type="dxa"/>
        <w:jc w:val="center"/>
        <w:tblLook w:val="04A0" w:firstRow="1" w:lastRow="0" w:firstColumn="1" w:lastColumn="0" w:noHBand="0" w:noVBand="1"/>
      </w:tblPr>
      <w:tblGrid>
        <w:gridCol w:w="1268"/>
        <w:gridCol w:w="1150"/>
        <w:gridCol w:w="1642"/>
        <w:gridCol w:w="740"/>
        <w:gridCol w:w="758"/>
        <w:gridCol w:w="1179"/>
        <w:gridCol w:w="934"/>
        <w:gridCol w:w="869"/>
        <w:gridCol w:w="750"/>
        <w:gridCol w:w="772"/>
        <w:gridCol w:w="780"/>
        <w:gridCol w:w="826"/>
        <w:gridCol w:w="674"/>
        <w:gridCol w:w="878"/>
      </w:tblGrid>
      <w:tr w:rsidR="00154D55" w:rsidRPr="00154D55" w14:paraId="1CB46C5A" w14:textId="77777777" w:rsidTr="00154D55">
        <w:trPr>
          <w:trHeight w:val="450"/>
          <w:tblHeader/>
          <w:jc w:val="center"/>
        </w:trPr>
        <w:tc>
          <w:tcPr>
            <w:tcW w:w="1180" w:type="dxa"/>
            <w:vMerge w:val="restart"/>
            <w:tcBorders>
              <w:top w:val="single" w:sz="8" w:space="0" w:color="D9D9D9"/>
              <w:left w:val="single" w:sz="8" w:space="0" w:color="D9D9D9"/>
              <w:bottom w:val="single" w:sz="8" w:space="0" w:color="BFBFBF"/>
              <w:right w:val="single" w:sz="8" w:space="0" w:color="D9D9D9"/>
            </w:tcBorders>
            <w:shd w:val="clear" w:color="000000" w:fill="1F3864"/>
            <w:vAlign w:val="center"/>
            <w:hideMark/>
          </w:tcPr>
          <w:p w14:paraId="00E6CD17"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bookmarkStart w:id="26" w:name="RANGE!B2"/>
            <w:proofErr w:type="spellStart"/>
            <w:r w:rsidRPr="00154D55">
              <w:rPr>
                <w:rFonts w:ascii="Century Gothic" w:eastAsia="Times New Roman" w:hAnsi="Century Gothic" w:cs="Calibri"/>
                <w:color w:val="FFFFFF"/>
                <w:sz w:val="17"/>
                <w:szCs w:val="17"/>
                <w:lang w:val="en-US"/>
              </w:rPr>
              <w:t>Periodicidad</w:t>
            </w:r>
            <w:bookmarkEnd w:id="26"/>
            <w:proofErr w:type="spellEnd"/>
          </w:p>
        </w:tc>
        <w:tc>
          <w:tcPr>
            <w:tcW w:w="1060" w:type="dxa"/>
            <w:vMerge w:val="restart"/>
            <w:tcBorders>
              <w:top w:val="single" w:sz="8" w:space="0" w:color="D9D9D9"/>
              <w:left w:val="single" w:sz="8" w:space="0" w:color="D9D9D9"/>
              <w:bottom w:val="single" w:sz="8" w:space="0" w:color="BFBFBF"/>
              <w:right w:val="nil"/>
            </w:tcBorders>
            <w:shd w:val="clear" w:color="000000" w:fill="1F3864"/>
            <w:vAlign w:val="center"/>
            <w:hideMark/>
          </w:tcPr>
          <w:p w14:paraId="3156A6C6"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proofErr w:type="spellStart"/>
            <w:r w:rsidRPr="00154D55">
              <w:rPr>
                <w:rFonts w:ascii="Century Gothic" w:eastAsia="Times New Roman" w:hAnsi="Century Gothic" w:cs="Calibri"/>
                <w:color w:val="FFFFFF"/>
                <w:sz w:val="17"/>
                <w:szCs w:val="17"/>
                <w:lang w:val="en-US"/>
              </w:rPr>
              <w:t>Programa</w:t>
            </w:r>
            <w:proofErr w:type="spellEnd"/>
          </w:p>
        </w:tc>
        <w:tc>
          <w:tcPr>
            <w:tcW w:w="1720" w:type="dxa"/>
            <w:vMerge w:val="restart"/>
            <w:tcBorders>
              <w:top w:val="single" w:sz="8" w:space="0" w:color="D9D9D9"/>
              <w:left w:val="single" w:sz="8" w:space="0" w:color="BFBFBF"/>
              <w:bottom w:val="nil"/>
              <w:right w:val="single" w:sz="8" w:space="0" w:color="BFBFBF"/>
            </w:tcBorders>
            <w:shd w:val="clear" w:color="000000" w:fill="1F3864"/>
            <w:vAlign w:val="center"/>
            <w:hideMark/>
          </w:tcPr>
          <w:p w14:paraId="6448D557"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proofErr w:type="spellStart"/>
            <w:r w:rsidRPr="00154D55">
              <w:rPr>
                <w:rFonts w:ascii="Century Gothic" w:eastAsia="Times New Roman" w:hAnsi="Century Gothic" w:cs="Calibri"/>
                <w:color w:val="FFFFFF"/>
                <w:sz w:val="17"/>
                <w:szCs w:val="17"/>
                <w:lang w:val="en-US"/>
              </w:rPr>
              <w:t>Periodo</w:t>
            </w:r>
            <w:proofErr w:type="spellEnd"/>
            <w:r w:rsidRPr="00154D55">
              <w:rPr>
                <w:rFonts w:ascii="Century Gothic" w:eastAsia="Times New Roman" w:hAnsi="Century Gothic" w:cs="Calibri"/>
                <w:color w:val="FFFFFF"/>
                <w:sz w:val="17"/>
                <w:szCs w:val="17"/>
                <w:lang w:val="en-US"/>
              </w:rPr>
              <w:t xml:space="preserve"> </w:t>
            </w:r>
            <w:proofErr w:type="spellStart"/>
            <w:r w:rsidRPr="00154D55">
              <w:rPr>
                <w:rFonts w:ascii="Century Gothic" w:eastAsia="Times New Roman" w:hAnsi="Century Gothic" w:cs="Calibri"/>
                <w:color w:val="FFFFFF"/>
                <w:sz w:val="17"/>
                <w:szCs w:val="17"/>
                <w:lang w:val="en-US"/>
              </w:rPr>
              <w:t>reportado</w:t>
            </w:r>
            <w:proofErr w:type="spellEnd"/>
            <w:r w:rsidRPr="00154D55">
              <w:rPr>
                <w:rFonts w:ascii="Century Gothic" w:eastAsia="Times New Roman" w:hAnsi="Century Gothic" w:cs="Calibri"/>
                <w:color w:val="FFFFFF"/>
                <w:sz w:val="17"/>
                <w:szCs w:val="17"/>
                <w:lang w:val="en-US"/>
              </w:rPr>
              <w:t xml:space="preserve"> </w:t>
            </w:r>
            <w:proofErr w:type="spellStart"/>
            <w:r w:rsidRPr="00154D55">
              <w:rPr>
                <w:rFonts w:ascii="Century Gothic" w:eastAsia="Times New Roman" w:hAnsi="Century Gothic" w:cs="Calibri"/>
                <w:color w:val="FFFFFF"/>
                <w:sz w:val="17"/>
                <w:szCs w:val="17"/>
                <w:lang w:val="en-US"/>
              </w:rPr>
              <w:t>en</w:t>
            </w:r>
            <w:proofErr w:type="spellEnd"/>
            <w:r w:rsidRPr="00154D55">
              <w:rPr>
                <w:rFonts w:ascii="Century Gothic" w:eastAsia="Times New Roman" w:hAnsi="Century Gothic" w:cs="Calibri"/>
                <w:color w:val="FFFFFF"/>
                <w:sz w:val="17"/>
                <w:szCs w:val="17"/>
                <w:lang w:val="en-US"/>
              </w:rPr>
              <w:t xml:space="preserve"> 2020</w:t>
            </w:r>
          </w:p>
        </w:tc>
        <w:tc>
          <w:tcPr>
            <w:tcW w:w="1540" w:type="dxa"/>
            <w:gridSpan w:val="2"/>
            <w:vMerge w:val="restart"/>
            <w:tcBorders>
              <w:top w:val="single" w:sz="8" w:space="0" w:color="D9D9D9"/>
              <w:left w:val="single" w:sz="8" w:space="0" w:color="BFBFBF"/>
              <w:bottom w:val="single" w:sz="8" w:space="0" w:color="BFBFBF"/>
              <w:right w:val="single" w:sz="8" w:space="0" w:color="BFBFBF"/>
            </w:tcBorders>
            <w:shd w:val="clear" w:color="000000" w:fill="1F3864"/>
            <w:vAlign w:val="center"/>
            <w:hideMark/>
          </w:tcPr>
          <w:p w14:paraId="592D6706"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 xml:space="preserve">Total de </w:t>
            </w:r>
            <w:proofErr w:type="spellStart"/>
            <w:r w:rsidRPr="00154D55">
              <w:rPr>
                <w:rFonts w:ascii="Century Gothic" w:eastAsia="Times New Roman" w:hAnsi="Century Gothic" w:cs="Calibri"/>
                <w:color w:val="FFFFFF"/>
                <w:sz w:val="17"/>
                <w:szCs w:val="17"/>
                <w:lang w:val="en-US"/>
              </w:rPr>
              <w:t>casos</w:t>
            </w:r>
            <w:proofErr w:type="spellEnd"/>
          </w:p>
        </w:tc>
        <w:tc>
          <w:tcPr>
            <w:tcW w:w="1200" w:type="dxa"/>
            <w:vMerge w:val="restart"/>
            <w:tcBorders>
              <w:top w:val="single" w:sz="8" w:space="0" w:color="D9D9D9"/>
              <w:left w:val="nil"/>
              <w:bottom w:val="single" w:sz="8" w:space="0" w:color="BFBFBF"/>
              <w:right w:val="single" w:sz="8" w:space="0" w:color="D9D9D9"/>
            </w:tcBorders>
            <w:shd w:val="clear" w:color="000000" w:fill="1F3864"/>
            <w:vAlign w:val="center"/>
            <w:hideMark/>
          </w:tcPr>
          <w:p w14:paraId="3DD62F71"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rPr>
            </w:pPr>
            <w:r w:rsidRPr="00154D55">
              <w:rPr>
                <w:rFonts w:ascii="Century Gothic" w:eastAsia="Times New Roman" w:hAnsi="Century Gothic" w:cs="Calibri"/>
                <w:color w:val="FFFFFF"/>
                <w:sz w:val="17"/>
                <w:szCs w:val="17"/>
              </w:rPr>
              <w:t>TNR máxima esperada (Diseño muestral)</w:t>
            </w:r>
          </w:p>
        </w:tc>
        <w:tc>
          <w:tcPr>
            <w:tcW w:w="6520" w:type="dxa"/>
            <w:gridSpan w:val="8"/>
            <w:tcBorders>
              <w:top w:val="single" w:sz="8" w:space="0" w:color="D9D9D9"/>
              <w:left w:val="nil"/>
              <w:bottom w:val="single" w:sz="8" w:space="0" w:color="D9D9D9"/>
              <w:right w:val="single" w:sz="8" w:space="0" w:color="D9D9D9"/>
            </w:tcBorders>
            <w:shd w:val="clear" w:color="000000" w:fill="1F3864"/>
            <w:vAlign w:val="center"/>
            <w:hideMark/>
          </w:tcPr>
          <w:p w14:paraId="5CE6C8DB"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rPr>
            </w:pPr>
            <w:r w:rsidRPr="00154D55">
              <w:rPr>
                <w:rFonts w:ascii="Century Gothic" w:eastAsia="Times New Roman" w:hAnsi="Century Gothic" w:cs="Calibri"/>
                <w:color w:val="FFFFFF"/>
                <w:sz w:val="17"/>
                <w:szCs w:val="17"/>
              </w:rPr>
              <w:t xml:space="preserve">Promedio de tasas reportadas </w:t>
            </w:r>
            <w:r w:rsidRPr="00154D55">
              <w:rPr>
                <w:rFonts w:ascii="Century Gothic" w:eastAsia="Times New Roman" w:hAnsi="Century Gothic" w:cs="Calibri"/>
                <w:color w:val="FFFFFF"/>
                <w:sz w:val="17"/>
                <w:szCs w:val="17"/>
                <w:vertAlign w:val="superscript"/>
              </w:rPr>
              <w:t>a/</w:t>
            </w:r>
          </w:p>
        </w:tc>
      </w:tr>
      <w:tr w:rsidR="00296E53" w:rsidRPr="00154D55" w14:paraId="40BEF016" w14:textId="77777777" w:rsidTr="00154D55">
        <w:trPr>
          <w:trHeight w:val="810"/>
          <w:tblHeader/>
          <w:jc w:val="center"/>
        </w:trPr>
        <w:tc>
          <w:tcPr>
            <w:tcW w:w="1180" w:type="dxa"/>
            <w:vMerge/>
            <w:tcBorders>
              <w:top w:val="single" w:sz="8" w:space="0" w:color="D9D9D9"/>
              <w:left w:val="single" w:sz="8" w:space="0" w:color="D9D9D9"/>
              <w:bottom w:val="single" w:sz="8" w:space="0" w:color="BFBFBF"/>
              <w:right w:val="single" w:sz="8" w:space="0" w:color="D9D9D9"/>
            </w:tcBorders>
            <w:vAlign w:val="center"/>
            <w:hideMark/>
          </w:tcPr>
          <w:p w14:paraId="50AD76A9"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060" w:type="dxa"/>
            <w:vMerge/>
            <w:tcBorders>
              <w:top w:val="single" w:sz="8" w:space="0" w:color="D9D9D9"/>
              <w:left w:val="single" w:sz="8" w:space="0" w:color="D9D9D9"/>
              <w:bottom w:val="single" w:sz="8" w:space="0" w:color="BFBFBF"/>
              <w:right w:val="nil"/>
            </w:tcBorders>
            <w:vAlign w:val="center"/>
            <w:hideMark/>
          </w:tcPr>
          <w:p w14:paraId="29AE138D"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720" w:type="dxa"/>
            <w:vMerge/>
            <w:tcBorders>
              <w:top w:val="single" w:sz="8" w:space="0" w:color="D9D9D9"/>
              <w:left w:val="single" w:sz="8" w:space="0" w:color="BFBFBF"/>
              <w:bottom w:val="nil"/>
              <w:right w:val="single" w:sz="8" w:space="0" w:color="BFBFBF"/>
            </w:tcBorders>
            <w:vAlign w:val="center"/>
            <w:hideMark/>
          </w:tcPr>
          <w:p w14:paraId="1630E01E"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540" w:type="dxa"/>
            <w:gridSpan w:val="2"/>
            <w:vMerge/>
            <w:tcBorders>
              <w:top w:val="single" w:sz="8" w:space="0" w:color="D9D9D9"/>
              <w:left w:val="single" w:sz="8" w:space="0" w:color="BFBFBF"/>
              <w:bottom w:val="single" w:sz="8" w:space="0" w:color="BFBFBF"/>
              <w:right w:val="single" w:sz="8" w:space="0" w:color="BFBFBF"/>
            </w:tcBorders>
            <w:vAlign w:val="center"/>
            <w:hideMark/>
          </w:tcPr>
          <w:p w14:paraId="6C1294D8"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200" w:type="dxa"/>
            <w:vMerge/>
            <w:tcBorders>
              <w:top w:val="single" w:sz="8" w:space="0" w:color="D9D9D9"/>
              <w:left w:val="nil"/>
              <w:bottom w:val="single" w:sz="8" w:space="0" w:color="BFBFBF"/>
              <w:right w:val="single" w:sz="8" w:space="0" w:color="D9D9D9"/>
            </w:tcBorders>
            <w:vAlign w:val="center"/>
            <w:hideMark/>
          </w:tcPr>
          <w:p w14:paraId="1FE51A48"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860" w:type="dxa"/>
            <w:gridSpan w:val="2"/>
            <w:tcBorders>
              <w:top w:val="single" w:sz="8" w:space="0" w:color="D9D9D9"/>
              <w:left w:val="nil"/>
              <w:bottom w:val="single" w:sz="8" w:space="0" w:color="BFBFBF"/>
              <w:right w:val="single" w:sz="8" w:space="0" w:color="D9D9D9"/>
            </w:tcBorders>
            <w:shd w:val="clear" w:color="000000" w:fill="1F3864"/>
            <w:vAlign w:val="center"/>
            <w:hideMark/>
          </w:tcPr>
          <w:p w14:paraId="332E00B7"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rPr>
            </w:pPr>
            <w:r w:rsidRPr="00154D55">
              <w:rPr>
                <w:rFonts w:ascii="Century Gothic" w:eastAsia="Times New Roman" w:hAnsi="Century Gothic" w:cs="Calibri"/>
                <w:color w:val="FFFFFF"/>
                <w:sz w:val="17"/>
                <w:szCs w:val="17"/>
              </w:rPr>
              <w:t>Tasa de no respuesta antes de imputación (ponderadas)</w:t>
            </w:r>
          </w:p>
        </w:tc>
        <w:tc>
          <w:tcPr>
            <w:tcW w:w="1480" w:type="dxa"/>
            <w:gridSpan w:val="2"/>
            <w:tcBorders>
              <w:top w:val="single" w:sz="8" w:space="0" w:color="D9D9D9"/>
              <w:left w:val="nil"/>
              <w:bottom w:val="single" w:sz="8" w:space="0" w:color="BFBFBF"/>
              <w:right w:val="single" w:sz="8" w:space="0" w:color="D9D9D9"/>
            </w:tcBorders>
            <w:shd w:val="clear" w:color="000000" w:fill="1F3864"/>
            <w:vAlign w:val="center"/>
            <w:hideMark/>
          </w:tcPr>
          <w:p w14:paraId="06DE4E0A"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 xml:space="preserve">Tasa de </w:t>
            </w:r>
            <w:proofErr w:type="spellStart"/>
            <w:r w:rsidRPr="00154D55">
              <w:rPr>
                <w:rFonts w:ascii="Century Gothic" w:eastAsia="Times New Roman" w:hAnsi="Century Gothic" w:cs="Calibri"/>
                <w:color w:val="FFFFFF"/>
                <w:sz w:val="17"/>
                <w:szCs w:val="17"/>
                <w:lang w:val="en-US"/>
              </w:rPr>
              <w:t>imputación</w:t>
            </w:r>
            <w:proofErr w:type="spellEnd"/>
            <w:r w:rsidRPr="00154D55">
              <w:rPr>
                <w:rFonts w:ascii="Century Gothic" w:eastAsia="Times New Roman" w:hAnsi="Century Gothic" w:cs="Calibri"/>
                <w:color w:val="FFFFFF"/>
                <w:sz w:val="17"/>
                <w:szCs w:val="17"/>
                <w:lang w:val="en-US"/>
              </w:rPr>
              <w:t xml:space="preserve"> (</w:t>
            </w:r>
            <w:proofErr w:type="spellStart"/>
            <w:r w:rsidRPr="00154D55">
              <w:rPr>
                <w:rFonts w:ascii="Century Gothic" w:eastAsia="Times New Roman" w:hAnsi="Century Gothic" w:cs="Calibri"/>
                <w:color w:val="FFFFFF"/>
                <w:sz w:val="17"/>
                <w:szCs w:val="17"/>
                <w:lang w:val="en-US"/>
              </w:rPr>
              <w:t>ponderadas</w:t>
            </w:r>
            <w:proofErr w:type="spellEnd"/>
            <w:r w:rsidRPr="00154D55">
              <w:rPr>
                <w:rFonts w:ascii="Century Gothic" w:eastAsia="Times New Roman" w:hAnsi="Century Gothic" w:cs="Calibri"/>
                <w:color w:val="FFFFFF"/>
                <w:sz w:val="17"/>
                <w:szCs w:val="17"/>
                <w:lang w:val="en-US"/>
              </w:rPr>
              <w:t xml:space="preserve">) </w:t>
            </w:r>
          </w:p>
        </w:tc>
        <w:tc>
          <w:tcPr>
            <w:tcW w:w="1620" w:type="dxa"/>
            <w:gridSpan w:val="2"/>
            <w:tcBorders>
              <w:top w:val="single" w:sz="8" w:space="0" w:color="D9D9D9"/>
              <w:left w:val="nil"/>
              <w:bottom w:val="single" w:sz="8" w:space="0" w:color="BFBFBF"/>
              <w:right w:val="single" w:sz="8" w:space="0" w:color="D9D9D9"/>
            </w:tcBorders>
            <w:shd w:val="clear" w:color="000000" w:fill="1F3864"/>
            <w:vAlign w:val="center"/>
            <w:hideMark/>
          </w:tcPr>
          <w:p w14:paraId="19649C25"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 xml:space="preserve">Tasa de </w:t>
            </w:r>
            <w:proofErr w:type="spellStart"/>
            <w:r w:rsidRPr="00154D55">
              <w:rPr>
                <w:rFonts w:ascii="Century Gothic" w:eastAsia="Times New Roman" w:hAnsi="Century Gothic" w:cs="Calibri"/>
                <w:color w:val="FFFFFF"/>
                <w:sz w:val="17"/>
                <w:szCs w:val="17"/>
                <w:lang w:val="en-US"/>
              </w:rPr>
              <w:t>sobrecobertura</w:t>
            </w:r>
            <w:proofErr w:type="spellEnd"/>
            <w:r w:rsidRPr="00154D55">
              <w:rPr>
                <w:rFonts w:ascii="Century Gothic" w:eastAsia="Times New Roman" w:hAnsi="Century Gothic" w:cs="Calibri"/>
                <w:color w:val="FFFFFF"/>
                <w:sz w:val="17"/>
                <w:szCs w:val="17"/>
                <w:lang w:val="en-US"/>
              </w:rPr>
              <w:t xml:space="preserve"> (</w:t>
            </w:r>
            <w:proofErr w:type="spellStart"/>
            <w:r w:rsidRPr="00154D55">
              <w:rPr>
                <w:rFonts w:ascii="Century Gothic" w:eastAsia="Times New Roman" w:hAnsi="Century Gothic" w:cs="Calibri"/>
                <w:color w:val="FFFFFF"/>
                <w:sz w:val="17"/>
                <w:szCs w:val="17"/>
                <w:lang w:val="en-US"/>
              </w:rPr>
              <w:t>ponderadas</w:t>
            </w:r>
            <w:proofErr w:type="spellEnd"/>
            <w:r w:rsidRPr="00154D55">
              <w:rPr>
                <w:rFonts w:ascii="Century Gothic" w:eastAsia="Times New Roman" w:hAnsi="Century Gothic" w:cs="Calibri"/>
                <w:color w:val="FFFFFF"/>
                <w:sz w:val="17"/>
                <w:szCs w:val="17"/>
                <w:lang w:val="en-US"/>
              </w:rPr>
              <w:t>)</w:t>
            </w:r>
          </w:p>
        </w:tc>
        <w:tc>
          <w:tcPr>
            <w:tcW w:w="1560" w:type="dxa"/>
            <w:gridSpan w:val="2"/>
            <w:tcBorders>
              <w:top w:val="single" w:sz="8" w:space="0" w:color="D9D9D9"/>
              <w:left w:val="nil"/>
              <w:bottom w:val="single" w:sz="8" w:space="0" w:color="BFBFBF"/>
              <w:right w:val="single" w:sz="8" w:space="0" w:color="D9D9D9"/>
            </w:tcBorders>
            <w:shd w:val="clear" w:color="000000" w:fill="1F3864"/>
            <w:vAlign w:val="center"/>
            <w:hideMark/>
          </w:tcPr>
          <w:p w14:paraId="43C6E7FF"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rPr>
            </w:pPr>
            <w:r w:rsidRPr="00154D55">
              <w:rPr>
                <w:rFonts w:ascii="Century Gothic" w:eastAsia="Times New Roman" w:hAnsi="Century Gothic" w:cs="Calibri"/>
                <w:color w:val="FFFFFF"/>
                <w:sz w:val="17"/>
                <w:szCs w:val="17"/>
              </w:rPr>
              <w:t>Tasa de Cumplimiento de la Muestra Mínima</w:t>
            </w:r>
          </w:p>
        </w:tc>
      </w:tr>
      <w:tr w:rsidR="00154D55" w:rsidRPr="00296E53" w14:paraId="24BDE298" w14:textId="77777777" w:rsidTr="00154D55">
        <w:trPr>
          <w:trHeight w:val="315"/>
          <w:tblHeader/>
          <w:jc w:val="center"/>
        </w:trPr>
        <w:tc>
          <w:tcPr>
            <w:tcW w:w="1180" w:type="dxa"/>
            <w:vMerge/>
            <w:tcBorders>
              <w:top w:val="single" w:sz="8" w:space="0" w:color="D9D9D9"/>
              <w:left w:val="single" w:sz="8" w:space="0" w:color="D9D9D9"/>
              <w:bottom w:val="single" w:sz="8" w:space="0" w:color="BFBFBF"/>
              <w:right w:val="single" w:sz="8" w:space="0" w:color="D9D9D9"/>
            </w:tcBorders>
            <w:vAlign w:val="center"/>
            <w:hideMark/>
          </w:tcPr>
          <w:p w14:paraId="780D5CA6"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060" w:type="dxa"/>
            <w:vMerge/>
            <w:tcBorders>
              <w:top w:val="single" w:sz="8" w:space="0" w:color="D9D9D9"/>
              <w:left w:val="single" w:sz="8" w:space="0" w:color="D9D9D9"/>
              <w:bottom w:val="single" w:sz="8" w:space="0" w:color="BFBFBF"/>
              <w:right w:val="nil"/>
            </w:tcBorders>
            <w:vAlign w:val="center"/>
            <w:hideMark/>
          </w:tcPr>
          <w:p w14:paraId="33A83248"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720" w:type="dxa"/>
            <w:vMerge/>
            <w:tcBorders>
              <w:top w:val="single" w:sz="8" w:space="0" w:color="D9D9D9"/>
              <w:left w:val="single" w:sz="8" w:space="0" w:color="BFBFBF"/>
              <w:bottom w:val="nil"/>
              <w:right w:val="single" w:sz="8" w:space="0" w:color="BFBFBF"/>
            </w:tcBorders>
            <w:vAlign w:val="center"/>
            <w:hideMark/>
          </w:tcPr>
          <w:p w14:paraId="569DD63D"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760" w:type="dxa"/>
            <w:tcBorders>
              <w:top w:val="nil"/>
              <w:left w:val="nil"/>
              <w:bottom w:val="nil"/>
              <w:right w:val="nil"/>
            </w:tcBorders>
            <w:shd w:val="clear" w:color="000000" w:fill="1F3864"/>
            <w:vAlign w:val="center"/>
            <w:hideMark/>
          </w:tcPr>
          <w:p w14:paraId="0030B316"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 xml:space="preserve">2019 </w:t>
            </w:r>
            <w:r w:rsidRPr="00154D55">
              <w:rPr>
                <w:rFonts w:ascii="Century Gothic" w:eastAsia="Times New Roman" w:hAnsi="Century Gothic" w:cs="Calibri"/>
                <w:color w:val="FFFFFF"/>
                <w:sz w:val="17"/>
                <w:szCs w:val="17"/>
                <w:vertAlign w:val="superscript"/>
                <w:lang w:val="en-US"/>
              </w:rPr>
              <w:t>b/</w:t>
            </w:r>
          </w:p>
        </w:tc>
        <w:tc>
          <w:tcPr>
            <w:tcW w:w="780" w:type="dxa"/>
            <w:tcBorders>
              <w:top w:val="nil"/>
              <w:left w:val="nil"/>
              <w:bottom w:val="nil"/>
              <w:right w:val="single" w:sz="8" w:space="0" w:color="BFBFBF"/>
            </w:tcBorders>
            <w:shd w:val="clear" w:color="000000" w:fill="1F3864"/>
            <w:vAlign w:val="center"/>
            <w:hideMark/>
          </w:tcPr>
          <w:p w14:paraId="67530D0F"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 xml:space="preserve">2020 </w:t>
            </w:r>
            <w:r w:rsidRPr="00154D55">
              <w:rPr>
                <w:rFonts w:ascii="Century Gothic" w:eastAsia="Times New Roman" w:hAnsi="Century Gothic" w:cs="Calibri"/>
                <w:color w:val="FFFFFF"/>
                <w:sz w:val="17"/>
                <w:szCs w:val="17"/>
                <w:vertAlign w:val="superscript"/>
                <w:lang w:val="en-US"/>
              </w:rPr>
              <w:t>c/</w:t>
            </w:r>
          </w:p>
        </w:tc>
        <w:tc>
          <w:tcPr>
            <w:tcW w:w="1200" w:type="dxa"/>
            <w:vMerge/>
            <w:tcBorders>
              <w:top w:val="single" w:sz="8" w:space="0" w:color="D9D9D9"/>
              <w:left w:val="nil"/>
              <w:bottom w:val="single" w:sz="8" w:space="0" w:color="BFBFBF"/>
              <w:right w:val="single" w:sz="8" w:space="0" w:color="D9D9D9"/>
            </w:tcBorders>
            <w:vAlign w:val="center"/>
            <w:hideMark/>
          </w:tcPr>
          <w:p w14:paraId="7828EFE2" w14:textId="77777777" w:rsidR="00154D55" w:rsidRPr="00154D55" w:rsidRDefault="00154D55" w:rsidP="00154D55">
            <w:pPr>
              <w:spacing w:after="0" w:line="240" w:lineRule="auto"/>
              <w:rPr>
                <w:rFonts w:ascii="Century Gothic" w:eastAsia="Times New Roman" w:hAnsi="Century Gothic" w:cs="Calibri"/>
                <w:color w:val="FFFFFF"/>
                <w:sz w:val="17"/>
                <w:szCs w:val="17"/>
                <w:lang w:val="en-US"/>
              </w:rPr>
            </w:pPr>
          </w:p>
        </w:tc>
        <w:tc>
          <w:tcPr>
            <w:tcW w:w="980" w:type="dxa"/>
            <w:tcBorders>
              <w:top w:val="nil"/>
              <w:left w:val="nil"/>
              <w:bottom w:val="nil"/>
              <w:right w:val="nil"/>
            </w:tcBorders>
            <w:shd w:val="clear" w:color="000000" w:fill="1F3864"/>
            <w:vAlign w:val="center"/>
            <w:hideMark/>
          </w:tcPr>
          <w:p w14:paraId="5587ADDB"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2019</w:t>
            </w:r>
          </w:p>
        </w:tc>
        <w:tc>
          <w:tcPr>
            <w:tcW w:w="880" w:type="dxa"/>
            <w:tcBorders>
              <w:top w:val="nil"/>
              <w:left w:val="nil"/>
              <w:bottom w:val="nil"/>
              <w:right w:val="single" w:sz="8" w:space="0" w:color="BFBFBF"/>
            </w:tcBorders>
            <w:shd w:val="clear" w:color="000000" w:fill="1F3864"/>
            <w:vAlign w:val="center"/>
            <w:hideMark/>
          </w:tcPr>
          <w:p w14:paraId="51259508"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2020</w:t>
            </w:r>
          </w:p>
        </w:tc>
        <w:tc>
          <w:tcPr>
            <w:tcW w:w="760" w:type="dxa"/>
            <w:tcBorders>
              <w:top w:val="nil"/>
              <w:left w:val="nil"/>
              <w:bottom w:val="nil"/>
              <w:right w:val="nil"/>
            </w:tcBorders>
            <w:shd w:val="clear" w:color="000000" w:fill="1F3864"/>
            <w:vAlign w:val="center"/>
            <w:hideMark/>
          </w:tcPr>
          <w:p w14:paraId="29D33205"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2019</w:t>
            </w:r>
          </w:p>
        </w:tc>
        <w:tc>
          <w:tcPr>
            <w:tcW w:w="720" w:type="dxa"/>
            <w:tcBorders>
              <w:top w:val="nil"/>
              <w:left w:val="nil"/>
              <w:bottom w:val="nil"/>
              <w:right w:val="single" w:sz="8" w:space="0" w:color="BFBFBF"/>
            </w:tcBorders>
            <w:shd w:val="clear" w:color="000000" w:fill="1F3864"/>
            <w:vAlign w:val="center"/>
            <w:hideMark/>
          </w:tcPr>
          <w:p w14:paraId="2632A2B0"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2020</w:t>
            </w:r>
          </w:p>
        </w:tc>
        <w:tc>
          <w:tcPr>
            <w:tcW w:w="780" w:type="dxa"/>
            <w:tcBorders>
              <w:top w:val="nil"/>
              <w:left w:val="nil"/>
              <w:bottom w:val="nil"/>
              <w:right w:val="nil"/>
            </w:tcBorders>
            <w:shd w:val="clear" w:color="000000" w:fill="1F3864"/>
            <w:vAlign w:val="center"/>
            <w:hideMark/>
          </w:tcPr>
          <w:p w14:paraId="7F980E9A"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2019</w:t>
            </w:r>
          </w:p>
        </w:tc>
        <w:tc>
          <w:tcPr>
            <w:tcW w:w="840" w:type="dxa"/>
            <w:tcBorders>
              <w:top w:val="nil"/>
              <w:left w:val="nil"/>
              <w:bottom w:val="nil"/>
              <w:right w:val="single" w:sz="8" w:space="0" w:color="BFBFBF"/>
            </w:tcBorders>
            <w:shd w:val="clear" w:color="000000" w:fill="1F3864"/>
            <w:vAlign w:val="center"/>
            <w:hideMark/>
          </w:tcPr>
          <w:p w14:paraId="077533E4"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2020</w:t>
            </w:r>
          </w:p>
        </w:tc>
        <w:tc>
          <w:tcPr>
            <w:tcW w:w="680" w:type="dxa"/>
            <w:tcBorders>
              <w:top w:val="nil"/>
              <w:left w:val="nil"/>
              <w:bottom w:val="nil"/>
              <w:right w:val="nil"/>
            </w:tcBorders>
            <w:shd w:val="clear" w:color="000000" w:fill="1F3864"/>
            <w:vAlign w:val="center"/>
            <w:hideMark/>
          </w:tcPr>
          <w:p w14:paraId="365474BD"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2019</w:t>
            </w:r>
          </w:p>
        </w:tc>
        <w:tc>
          <w:tcPr>
            <w:tcW w:w="880" w:type="dxa"/>
            <w:tcBorders>
              <w:top w:val="nil"/>
              <w:left w:val="nil"/>
              <w:bottom w:val="nil"/>
              <w:right w:val="single" w:sz="8" w:space="0" w:color="BFBFBF"/>
            </w:tcBorders>
            <w:shd w:val="clear" w:color="000000" w:fill="1F3864"/>
            <w:vAlign w:val="center"/>
            <w:hideMark/>
          </w:tcPr>
          <w:p w14:paraId="610F585D"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2020</w:t>
            </w:r>
          </w:p>
        </w:tc>
      </w:tr>
      <w:tr w:rsidR="00154D55" w:rsidRPr="00296E53" w14:paraId="2F184025" w14:textId="77777777" w:rsidTr="00154D55">
        <w:trPr>
          <w:trHeight w:val="300"/>
          <w:jc w:val="center"/>
        </w:trPr>
        <w:tc>
          <w:tcPr>
            <w:tcW w:w="1180" w:type="dxa"/>
            <w:tcBorders>
              <w:top w:val="nil"/>
              <w:left w:val="single" w:sz="8" w:space="0" w:color="BFBFBF"/>
              <w:bottom w:val="nil"/>
              <w:right w:val="single" w:sz="8" w:space="0" w:color="BFBFBF"/>
            </w:tcBorders>
            <w:shd w:val="clear" w:color="000000" w:fill="DDEBF7"/>
            <w:vAlign w:val="center"/>
            <w:hideMark/>
          </w:tcPr>
          <w:p w14:paraId="23AAAFE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proofErr w:type="spellStart"/>
            <w:r w:rsidRPr="00154D55">
              <w:rPr>
                <w:rFonts w:ascii="Century Gothic" w:eastAsia="Times New Roman" w:hAnsi="Century Gothic" w:cs="Calibri"/>
                <w:color w:val="000000"/>
                <w:sz w:val="17"/>
                <w:szCs w:val="17"/>
                <w:lang w:val="en-US"/>
              </w:rPr>
              <w:t>Sexenal</w:t>
            </w:r>
            <w:proofErr w:type="spellEnd"/>
          </w:p>
        </w:tc>
        <w:tc>
          <w:tcPr>
            <w:tcW w:w="1060" w:type="dxa"/>
            <w:tcBorders>
              <w:top w:val="nil"/>
              <w:left w:val="nil"/>
              <w:bottom w:val="nil"/>
              <w:right w:val="nil"/>
            </w:tcBorders>
            <w:shd w:val="clear" w:color="000000" w:fill="DDEBF7"/>
            <w:vAlign w:val="center"/>
            <w:hideMark/>
          </w:tcPr>
          <w:p w14:paraId="662AB363"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ENSANUT</w:t>
            </w:r>
          </w:p>
        </w:tc>
        <w:tc>
          <w:tcPr>
            <w:tcW w:w="1720" w:type="dxa"/>
            <w:tcBorders>
              <w:top w:val="nil"/>
              <w:left w:val="single" w:sz="8" w:space="0" w:color="BFBFBF"/>
              <w:bottom w:val="nil"/>
              <w:right w:val="single" w:sz="8" w:space="0" w:color="BFBFBF"/>
            </w:tcBorders>
            <w:shd w:val="clear" w:color="000000" w:fill="DDEBF7"/>
            <w:vAlign w:val="center"/>
            <w:hideMark/>
          </w:tcPr>
          <w:p w14:paraId="0F30DCF2"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2018</w:t>
            </w:r>
          </w:p>
        </w:tc>
        <w:tc>
          <w:tcPr>
            <w:tcW w:w="760" w:type="dxa"/>
            <w:tcBorders>
              <w:top w:val="nil"/>
              <w:left w:val="nil"/>
              <w:bottom w:val="nil"/>
              <w:right w:val="nil"/>
            </w:tcBorders>
            <w:shd w:val="clear" w:color="000000" w:fill="DDEBF7"/>
            <w:vAlign w:val="center"/>
            <w:hideMark/>
          </w:tcPr>
          <w:p w14:paraId="6098ECA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DDEBF7"/>
            <w:vAlign w:val="center"/>
            <w:hideMark/>
          </w:tcPr>
          <w:p w14:paraId="65BCB4F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4</w:t>
            </w:r>
          </w:p>
        </w:tc>
        <w:tc>
          <w:tcPr>
            <w:tcW w:w="1200" w:type="dxa"/>
            <w:tcBorders>
              <w:top w:val="nil"/>
              <w:left w:val="nil"/>
              <w:bottom w:val="nil"/>
              <w:right w:val="single" w:sz="8" w:space="0" w:color="BFBFBF"/>
            </w:tcBorders>
            <w:shd w:val="clear" w:color="000000" w:fill="DDEBF7"/>
            <w:vAlign w:val="center"/>
            <w:hideMark/>
          </w:tcPr>
          <w:p w14:paraId="137734D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DDEBF7"/>
            <w:vAlign w:val="center"/>
            <w:hideMark/>
          </w:tcPr>
          <w:p w14:paraId="5F32A5B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350B8118" w14:textId="77777777" w:rsidR="00154D55" w:rsidRPr="00154D55" w:rsidRDefault="00154D55" w:rsidP="00154D55">
            <w:pPr>
              <w:spacing w:after="0" w:line="240" w:lineRule="auto"/>
              <w:jc w:val="center"/>
              <w:rPr>
                <w:rFonts w:ascii="Century Gothic" w:eastAsia="Times New Roman" w:hAnsi="Century Gothic" w:cs="Calibri"/>
                <w:b/>
                <w:bCs/>
                <w:color w:val="000000"/>
                <w:sz w:val="17"/>
                <w:szCs w:val="17"/>
                <w:lang w:val="en-US"/>
              </w:rPr>
            </w:pPr>
            <w:r w:rsidRPr="00154D55">
              <w:rPr>
                <w:rFonts w:ascii="Century Gothic" w:eastAsia="Times New Roman" w:hAnsi="Century Gothic" w:cs="Calibri"/>
                <w:b/>
                <w:bCs/>
                <w:color w:val="000000"/>
                <w:sz w:val="17"/>
                <w:szCs w:val="17"/>
                <w:lang w:val="en-US"/>
              </w:rPr>
              <w:t>59.09%</w:t>
            </w:r>
          </w:p>
        </w:tc>
        <w:tc>
          <w:tcPr>
            <w:tcW w:w="760" w:type="dxa"/>
            <w:tcBorders>
              <w:top w:val="nil"/>
              <w:left w:val="nil"/>
              <w:bottom w:val="nil"/>
              <w:right w:val="nil"/>
            </w:tcBorders>
            <w:shd w:val="clear" w:color="000000" w:fill="DDEBF7"/>
            <w:vAlign w:val="center"/>
            <w:hideMark/>
          </w:tcPr>
          <w:p w14:paraId="156450F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DDEBF7"/>
            <w:vAlign w:val="center"/>
            <w:hideMark/>
          </w:tcPr>
          <w:p w14:paraId="4483902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063E731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DDEBF7"/>
            <w:vAlign w:val="center"/>
            <w:hideMark/>
          </w:tcPr>
          <w:p w14:paraId="24D1753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7.78</w:t>
            </w:r>
          </w:p>
        </w:tc>
        <w:tc>
          <w:tcPr>
            <w:tcW w:w="680" w:type="dxa"/>
            <w:tcBorders>
              <w:top w:val="nil"/>
              <w:left w:val="nil"/>
              <w:bottom w:val="nil"/>
              <w:right w:val="nil"/>
            </w:tcBorders>
            <w:shd w:val="clear" w:color="000000" w:fill="DDEBF7"/>
            <w:vAlign w:val="center"/>
            <w:hideMark/>
          </w:tcPr>
          <w:p w14:paraId="128BC77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176F979E" w14:textId="77777777" w:rsidR="00154D55" w:rsidRPr="00154D55" w:rsidRDefault="00154D55" w:rsidP="00154D55">
            <w:pPr>
              <w:spacing w:after="0" w:line="240" w:lineRule="auto"/>
              <w:jc w:val="center"/>
              <w:rPr>
                <w:rFonts w:ascii="Century Gothic" w:eastAsia="Times New Roman" w:hAnsi="Century Gothic" w:cs="Calibri"/>
                <w:b/>
                <w:bCs/>
                <w:color w:val="000000"/>
                <w:sz w:val="17"/>
                <w:szCs w:val="17"/>
                <w:lang w:val="en-US"/>
              </w:rPr>
            </w:pPr>
            <w:r w:rsidRPr="00154D55">
              <w:rPr>
                <w:rFonts w:ascii="Century Gothic" w:eastAsia="Times New Roman" w:hAnsi="Century Gothic" w:cs="Calibri"/>
                <w:b/>
                <w:bCs/>
                <w:color w:val="000000"/>
                <w:sz w:val="17"/>
                <w:szCs w:val="17"/>
                <w:lang w:val="en-US"/>
              </w:rPr>
              <w:t>67.31%</w:t>
            </w:r>
          </w:p>
        </w:tc>
      </w:tr>
      <w:tr w:rsidR="00154D55" w:rsidRPr="00296E53" w14:paraId="42BB1904" w14:textId="77777777" w:rsidTr="00154D55">
        <w:trPr>
          <w:trHeight w:val="290"/>
          <w:jc w:val="center"/>
        </w:trPr>
        <w:tc>
          <w:tcPr>
            <w:tcW w:w="1180" w:type="dxa"/>
            <w:tcBorders>
              <w:top w:val="nil"/>
              <w:left w:val="single" w:sz="8" w:space="0" w:color="BFBFBF"/>
              <w:bottom w:val="nil"/>
              <w:right w:val="single" w:sz="8" w:space="0" w:color="BFBFBF"/>
            </w:tcBorders>
            <w:shd w:val="clear" w:color="000000" w:fill="DDEBF7"/>
            <w:vAlign w:val="center"/>
            <w:hideMark/>
          </w:tcPr>
          <w:p w14:paraId="5061AAA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proofErr w:type="spellStart"/>
            <w:r w:rsidRPr="00154D55">
              <w:rPr>
                <w:rFonts w:ascii="Century Gothic" w:eastAsia="Times New Roman" w:hAnsi="Century Gothic" w:cs="Calibri"/>
                <w:color w:val="000000"/>
                <w:sz w:val="17"/>
                <w:szCs w:val="17"/>
                <w:lang w:val="en-US"/>
              </w:rPr>
              <w:t>Quinquenal</w:t>
            </w:r>
            <w:proofErr w:type="spellEnd"/>
          </w:p>
        </w:tc>
        <w:tc>
          <w:tcPr>
            <w:tcW w:w="1060" w:type="dxa"/>
            <w:tcBorders>
              <w:top w:val="nil"/>
              <w:left w:val="nil"/>
              <w:bottom w:val="nil"/>
              <w:right w:val="nil"/>
            </w:tcBorders>
            <w:shd w:val="clear" w:color="000000" w:fill="DDEBF7"/>
            <w:vAlign w:val="center"/>
            <w:hideMark/>
          </w:tcPr>
          <w:p w14:paraId="4DDD8384"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ENUT</w:t>
            </w:r>
          </w:p>
        </w:tc>
        <w:tc>
          <w:tcPr>
            <w:tcW w:w="1720" w:type="dxa"/>
            <w:tcBorders>
              <w:top w:val="nil"/>
              <w:left w:val="single" w:sz="8" w:space="0" w:color="BFBFBF"/>
              <w:bottom w:val="nil"/>
              <w:right w:val="single" w:sz="8" w:space="0" w:color="BFBFBF"/>
            </w:tcBorders>
            <w:shd w:val="clear" w:color="000000" w:fill="DDEBF7"/>
            <w:vAlign w:val="center"/>
            <w:hideMark/>
          </w:tcPr>
          <w:p w14:paraId="460B4288"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DDEBF7"/>
            <w:vAlign w:val="center"/>
            <w:hideMark/>
          </w:tcPr>
          <w:p w14:paraId="3904449B"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DDEBF7"/>
            <w:vAlign w:val="center"/>
            <w:hideMark/>
          </w:tcPr>
          <w:p w14:paraId="73C8C90B"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4</w:t>
            </w:r>
          </w:p>
        </w:tc>
        <w:tc>
          <w:tcPr>
            <w:tcW w:w="1200" w:type="dxa"/>
            <w:tcBorders>
              <w:top w:val="nil"/>
              <w:left w:val="nil"/>
              <w:bottom w:val="nil"/>
              <w:right w:val="single" w:sz="8" w:space="0" w:color="BFBFBF"/>
            </w:tcBorders>
            <w:shd w:val="clear" w:color="000000" w:fill="DDEBF7"/>
            <w:vAlign w:val="center"/>
            <w:hideMark/>
          </w:tcPr>
          <w:p w14:paraId="78D5A9E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DDEBF7"/>
            <w:vAlign w:val="center"/>
            <w:hideMark/>
          </w:tcPr>
          <w:p w14:paraId="37E4B78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5C62569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10.48%</w:t>
            </w:r>
          </w:p>
        </w:tc>
        <w:tc>
          <w:tcPr>
            <w:tcW w:w="760" w:type="dxa"/>
            <w:tcBorders>
              <w:top w:val="nil"/>
              <w:left w:val="nil"/>
              <w:bottom w:val="nil"/>
              <w:right w:val="nil"/>
            </w:tcBorders>
            <w:shd w:val="clear" w:color="000000" w:fill="DDEBF7"/>
            <w:vAlign w:val="center"/>
            <w:hideMark/>
          </w:tcPr>
          <w:p w14:paraId="43A0CBC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DDEBF7"/>
            <w:vAlign w:val="center"/>
            <w:hideMark/>
          </w:tcPr>
          <w:p w14:paraId="0AB7555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365274C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DDEBF7"/>
            <w:vAlign w:val="center"/>
            <w:hideMark/>
          </w:tcPr>
          <w:p w14:paraId="1455CAC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6.78</w:t>
            </w:r>
          </w:p>
        </w:tc>
        <w:tc>
          <w:tcPr>
            <w:tcW w:w="680" w:type="dxa"/>
            <w:tcBorders>
              <w:top w:val="nil"/>
              <w:left w:val="nil"/>
              <w:bottom w:val="nil"/>
              <w:right w:val="nil"/>
            </w:tcBorders>
            <w:shd w:val="clear" w:color="000000" w:fill="DDEBF7"/>
            <w:vAlign w:val="center"/>
            <w:hideMark/>
          </w:tcPr>
          <w:p w14:paraId="3A513D1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59A24EE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106.73%</w:t>
            </w:r>
          </w:p>
        </w:tc>
      </w:tr>
      <w:tr w:rsidR="00154D55" w:rsidRPr="00296E53" w14:paraId="7EC87195" w14:textId="77777777" w:rsidTr="00154D55">
        <w:trPr>
          <w:trHeight w:val="440"/>
          <w:jc w:val="center"/>
        </w:trPr>
        <w:tc>
          <w:tcPr>
            <w:tcW w:w="1180" w:type="dxa"/>
            <w:vMerge w:val="restart"/>
            <w:tcBorders>
              <w:top w:val="nil"/>
              <w:left w:val="single" w:sz="8" w:space="0" w:color="BFBFBF"/>
              <w:bottom w:val="nil"/>
              <w:right w:val="single" w:sz="8" w:space="0" w:color="BFBFBF"/>
            </w:tcBorders>
            <w:shd w:val="clear" w:color="000000" w:fill="BDD7EE"/>
            <w:vAlign w:val="center"/>
            <w:hideMark/>
          </w:tcPr>
          <w:p w14:paraId="1EBB816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proofErr w:type="spellStart"/>
            <w:r w:rsidRPr="00154D55">
              <w:rPr>
                <w:rFonts w:ascii="Century Gothic" w:eastAsia="Times New Roman" w:hAnsi="Century Gothic" w:cs="Calibri"/>
                <w:color w:val="000000"/>
                <w:sz w:val="17"/>
                <w:szCs w:val="17"/>
                <w:lang w:val="en-US"/>
              </w:rPr>
              <w:t>Trienal</w:t>
            </w:r>
            <w:proofErr w:type="spellEnd"/>
          </w:p>
        </w:tc>
        <w:tc>
          <w:tcPr>
            <w:tcW w:w="1060" w:type="dxa"/>
            <w:tcBorders>
              <w:top w:val="nil"/>
              <w:left w:val="nil"/>
              <w:bottom w:val="nil"/>
              <w:right w:val="nil"/>
            </w:tcBorders>
            <w:shd w:val="clear" w:color="000000" w:fill="BDD7EE"/>
            <w:vAlign w:val="center"/>
            <w:hideMark/>
          </w:tcPr>
          <w:p w14:paraId="1A6002D2"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ECRIGE-CDMX</w:t>
            </w:r>
          </w:p>
        </w:tc>
        <w:tc>
          <w:tcPr>
            <w:tcW w:w="1720" w:type="dxa"/>
            <w:tcBorders>
              <w:top w:val="nil"/>
              <w:left w:val="single" w:sz="8" w:space="0" w:color="BFBFBF"/>
              <w:bottom w:val="nil"/>
              <w:right w:val="single" w:sz="8" w:space="0" w:color="BFBFBF"/>
            </w:tcBorders>
            <w:shd w:val="clear" w:color="000000" w:fill="BDD7EE"/>
            <w:vAlign w:val="center"/>
            <w:hideMark/>
          </w:tcPr>
          <w:p w14:paraId="7058E0D1"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BDD7EE"/>
            <w:vAlign w:val="center"/>
            <w:hideMark/>
          </w:tcPr>
          <w:p w14:paraId="1CB5AA6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00575AF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w:t>
            </w:r>
          </w:p>
        </w:tc>
        <w:tc>
          <w:tcPr>
            <w:tcW w:w="1200" w:type="dxa"/>
            <w:tcBorders>
              <w:top w:val="nil"/>
              <w:left w:val="nil"/>
              <w:bottom w:val="nil"/>
              <w:right w:val="single" w:sz="8" w:space="0" w:color="BFBFBF"/>
            </w:tcBorders>
            <w:shd w:val="clear" w:color="000000" w:fill="BDD7EE"/>
            <w:vAlign w:val="center"/>
            <w:hideMark/>
          </w:tcPr>
          <w:p w14:paraId="324A2B0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6262395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6D3F6A0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1.95%</w:t>
            </w:r>
          </w:p>
        </w:tc>
        <w:tc>
          <w:tcPr>
            <w:tcW w:w="760" w:type="dxa"/>
            <w:tcBorders>
              <w:top w:val="nil"/>
              <w:left w:val="nil"/>
              <w:bottom w:val="nil"/>
              <w:right w:val="nil"/>
            </w:tcBorders>
            <w:shd w:val="clear" w:color="000000" w:fill="BDD7EE"/>
            <w:vAlign w:val="center"/>
            <w:hideMark/>
          </w:tcPr>
          <w:p w14:paraId="34D3155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BDD7EE"/>
            <w:vAlign w:val="center"/>
            <w:hideMark/>
          </w:tcPr>
          <w:p w14:paraId="20E758A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66406CD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BDD7EE"/>
            <w:vAlign w:val="center"/>
            <w:hideMark/>
          </w:tcPr>
          <w:p w14:paraId="509C1EB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25.5</w:t>
            </w:r>
          </w:p>
        </w:tc>
        <w:tc>
          <w:tcPr>
            <w:tcW w:w="680" w:type="dxa"/>
            <w:tcBorders>
              <w:top w:val="nil"/>
              <w:left w:val="nil"/>
              <w:bottom w:val="nil"/>
              <w:right w:val="nil"/>
            </w:tcBorders>
            <w:shd w:val="clear" w:color="000000" w:fill="BDD7EE"/>
            <w:vAlign w:val="center"/>
            <w:hideMark/>
          </w:tcPr>
          <w:p w14:paraId="1054201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065ED2C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96.49%</w:t>
            </w:r>
          </w:p>
        </w:tc>
      </w:tr>
      <w:tr w:rsidR="00154D55" w:rsidRPr="00296E53" w14:paraId="112E45F3"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6ABA4CCC"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08212F11"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ENAID</w:t>
            </w:r>
          </w:p>
        </w:tc>
        <w:tc>
          <w:tcPr>
            <w:tcW w:w="1720" w:type="dxa"/>
            <w:tcBorders>
              <w:top w:val="nil"/>
              <w:left w:val="single" w:sz="8" w:space="0" w:color="BFBFBF"/>
              <w:bottom w:val="nil"/>
              <w:right w:val="single" w:sz="8" w:space="0" w:color="BFBFBF"/>
            </w:tcBorders>
            <w:shd w:val="clear" w:color="000000" w:fill="BDD7EE"/>
            <w:vAlign w:val="center"/>
            <w:hideMark/>
          </w:tcPr>
          <w:p w14:paraId="7C174370"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BDD7EE"/>
            <w:vAlign w:val="center"/>
            <w:hideMark/>
          </w:tcPr>
          <w:p w14:paraId="23831C9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77ECC543"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4</w:t>
            </w:r>
          </w:p>
        </w:tc>
        <w:tc>
          <w:tcPr>
            <w:tcW w:w="1200" w:type="dxa"/>
            <w:tcBorders>
              <w:top w:val="nil"/>
              <w:left w:val="nil"/>
              <w:bottom w:val="nil"/>
              <w:right w:val="single" w:sz="8" w:space="0" w:color="BFBFBF"/>
            </w:tcBorders>
            <w:shd w:val="clear" w:color="000000" w:fill="BDD7EE"/>
            <w:vAlign w:val="center"/>
            <w:hideMark/>
          </w:tcPr>
          <w:p w14:paraId="5158979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4EBB9C2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0E631F8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9.58%</w:t>
            </w:r>
          </w:p>
        </w:tc>
        <w:tc>
          <w:tcPr>
            <w:tcW w:w="760" w:type="dxa"/>
            <w:tcBorders>
              <w:top w:val="nil"/>
              <w:left w:val="nil"/>
              <w:bottom w:val="nil"/>
              <w:right w:val="nil"/>
            </w:tcBorders>
            <w:shd w:val="clear" w:color="000000" w:fill="BDD7EE"/>
            <w:vAlign w:val="center"/>
            <w:hideMark/>
          </w:tcPr>
          <w:p w14:paraId="0BBE165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BDD7EE"/>
            <w:vAlign w:val="center"/>
            <w:hideMark/>
          </w:tcPr>
          <w:p w14:paraId="166C420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522DDD6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BDD7EE"/>
            <w:vAlign w:val="center"/>
            <w:hideMark/>
          </w:tcPr>
          <w:p w14:paraId="4492E67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6.05</w:t>
            </w:r>
          </w:p>
        </w:tc>
        <w:tc>
          <w:tcPr>
            <w:tcW w:w="680" w:type="dxa"/>
            <w:tcBorders>
              <w:top w:val="nil"/>
              <w:left w:val="nil"/>
              <w:bottom w:val="nil"/>
              <w:right w:val="nil"/>
            </w:tcBorders>
            <w:shd w:val="clear" w:color="000000" w:fill="BDD7EE"/>
            <w:vAlign w:val="center"/>
            <w:hideMark/>
          </w:tcPr>
          <w:p w14:paraId="529F883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4D38A56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100.14%</w:t>
            </w:r>
          </w:p>
        </w:tc>
      </w:tr>
      <w:tr w:rsidR="00154D55" w:rsidRPr="00296E53" w14:paraId="2C910A54"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373E3379"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68498BA3"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ENASEM</w:t>
            </w:r>
          </w:p>
        </w:tc>
        <w:tc>
          <w:tcPr>
            <w:tcW w:w="1720" w:type="dxa"/>
            <w:tcBorders>
              <w:top w:val="nil"/>
              <w:left w:val="single" w:sz="8" w:space="0" w:color="BFBFBF"/>
              <w:bottom w:val="nil"/>
              <w:right w:val="single" w:sz="8" w:space="0" w:color="BFBFBF"/>
            </w:tcBorders>
            <w:shd w:val="clear" w:color="000000" w:fill="BDD7EE"/>
            <w:vAlign w:val="center"/>
            <w:hideMark/>
          </w:tcPr>
          <w:p w14:paraId="687ECE85"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2018</w:t>
            </w:r>
          </w:p>
        </w:tc>
        <w:tc>
          <w:tcPr>
            <w:tcW w:w="760" w:type="dxa"/>
            <w:tcBorders>
              <w:top w:val="nil"/>
              <w:left w:val="nil"/>
              <w:bottom w:val="nil"/>
              <w:right w:val="nil"/>
            </w:tcBorders>
            <w:shd w:val="clear" w:color="000000" w:fill="BDD7EE"/>
            <w:vAlign w:val="center"/>
            <w:hideMark/>
          </w:tcPr>
          <w:p w14:paraId="63C5AA2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311D2183"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3</w:t>
            </w:r>
          </w:p>
        </w:tc>
        <w:tc>
          <w:tcPr>
            <w:tcW w:w="1200" w:type="dxa"/>
            <w:tcBorders>
              <w:top w:val="nil"/>
              <w:left w:val="nil"/>
              <w:bottom w:val="nil"/>
              <w:right w:val="single" w:sz="8" w:space="0" w:color="BFBFBF"/>
            </w:tcBorders>
            <w:shd w:val="clear" w:color="000000" w:fill="BDD7EE"/>
            <w:vAlign w:val="center"/>
            <w:hideMark/>
          </w:tcPr>
          <w:p w14:paraId="459B70C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7742B2D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54D3206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17.89%</w:t>
            </w:r>
          </w:p>
        </w:tc>
        <w:tc>
          <w:tcPr>
            <w:tcW w:w="760" w:type="dxa"/>
            <w:tcBorders>
              <w:top w:val="nil"/>
              <w:left w:val="nil"/>
              <w:bottom w:val="nil"/>
              <w:right w:val="nil"/>
            </w:tcBorders>
            <w:shd w:val="clear" w:color="000000" w:fill="BDD7EE"/>
            <w:vAlign w:val="center"/>
            <w:hideMark/>
          </w:tcPr>
          <w:p w14:paraId="428E912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BDD7EE"/>
            <w:vAlign w:val="center"/>
            <w:hideMark/>
          </w:tcPr>
          <w:p w14:paraId="7262F2B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5906FC4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BDD7EE"/>
            <w:vAlign w:val="center"/>
            <w:hideMark/>
          </w:tcPr>
          <w:p w14:paraId="7C08EB8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3.42</w:t>
            </w:r>
          </w:p>
        </w:tc>
        <w:tc>
          <w:tcPr>
            <w:tcW w:w="680" w:type="dxa"/>
            <w:tcBorders>
              <w:top w:val="nil"/>
              <w:left w:val="nil"/>
              <w:bottom w:val="nil"/>
              <w:right w:val="nil"/>
            </w:tcBorders>
            <w:shd w:val="clear" w:color="000000" w:fill="BDD7EE"/>
            <w:vAlign w:val="center"/>
            <w:hideMark/>
          </w:tcPr>
          <w:p w14:paraId="7D3FD18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14556F0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95.24%</w:t>
            </w:r>
          </w:p>
        </w:tc>
      </w:tr>
      <w:tr w:rsidR="00154D55" w:rsidRPr="00296E53" w14:paraId="6C7373FC" w14:textId="77777777" w:rsidTr="00154D55">
        <w:trPr>
          <w:trHeight w:val="290"/>
          <w:jc w:val="center"/>
        </w:trPr>
        <w:tc>
          <w:tcPr>
            <w:tcW w:w="1180" w:type="dxa"/>
            <w:vMerge w:val="restart"/>
            <w:tcBorders>
              <w:top w:val="nil"/>
              <w:left w:val="single" w:sz="8" w:space="0" w:color="BFBFBF"/>
              <w:bottom w:val="nil"/>
              <w:right w:val="single" w:sz="8" w:space="0" w:color="BFBFBF"/>
            </w:tcBorders>
            <w:shd w:val="clear" w:color="000000" w:fill="DDEBF7"/>
            <w:vAlign w:val="center"/>
            <w:hideMark/>
          </w:tcPr>
          <w:p w14:paraId="5346077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proofErr w:type="spellStart"/>
            <w:r w:rsidRPr="00154D55">
              <w:rPr>
                <w:rFonts w:ascii="Century Gothic" w:eastAsia="Times New Roman" w:hAnsi="Century Gothic" w:cs="Calibri"/>
                <w:color w:val="000000"/>
                <w:sz w:val="17"/>
                <w:szCs w:val="17"/>
                <w:lang w:val="en-US"/>
              </w:rPr>
              <w:t>Bienal</w:t>
            </w:r>
            <w:proofErr w:type="spellEnd"/>
          </w:p>
        </w:tc>
        <w:tc>
          <w:tcPr>
            <w:tcW w:w="1060" w:type="dxa"/>
            <w:tcBorders>
              <w:top w:val="nil"/>
              <w:left w:val="nil"/>
              <w:bottom w:val="nil"/>
              <w:right w:val="nil"/>
            </w:tcBorders>
            <w:shd w:val="clear" w:color="000000" w:fill="DDEBF7"/>
            <w:vAlign w:val="center"/>
            <w:hideMark/>
          </w:tcPr>
          <w:p w14:paraId="409A317C"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ENCIG</w:t>
            </w:r>
          </w:p>
        </w:tc>
        <w:tc>
          <w:tcPr>
            <w:tcW w:w="1720" w:type="dxa"/>
            <w:tcBorders>
              <w:top w:val="nil"/>
              <w:left w:val="single" w:sz="8" w:space="0" w:color="BFBFBF"/>
              <w:bottom w:val="nil"/>
              <w:right w:val="single" w:sz="8" w:space="0" w:color="BFBFBF"/>
            </w:tcBorders>
            <w:shd w:val="clear" w:color="000000" w:fill="DDEBF7"/>
            <w:vAlign w:val="center"/>
            <w:hideMark/>
          </w:tcPr>
          <w:p w14:paraId="76692B2D"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DDEBF7"/>
            <w:vAlign w:val="center"/>
            <w:hideMark/>
          </w:tcPr>
          <w:p w14:paraId="3BAA41F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DDEBF7"/>
            <w:vAlign w:val="center"/>
            <w:hideMark/>
          </w:tcPr>
          <w:p w14:paraId="0DB1EB9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32</w:t>
            </w:r>
          </w:p>
        </w:tc>
        <w:tc>
          <w:tcPr>
            <w:tcW w:w="1200" w:type="dxa"/>
            <w:tcBorders>
              <w:top w:val="nil"/>
              <w:left w:val="nil"/>
              <w:bottom w:val="nil"/>
              <w:right w:val="single" w:sz="8" w:space="0" w:color="BFBFBF"/>
            </w:tcBorders>
            <w:shd w:val="clear" w:color="000000" w:fill="DDEBF7"/>
            <w:vAlign w:val="center"/>
            <w:hideMark/>
          </w:tcPr>
          <w:p w14:paraId="7DA6C1A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DDEBF7"/>
            <w:vAlign w:val="center"/>
            <w:hideMark/>
          </w:tcPr>
          <w:p w14:paraId="016156A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0E45224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8.37%</w:t>
            </w:r>
          </w:p>
        </w:tc>
        <w:tc>
          <w:tcPr>
            <w:tcW w:w="760" w:type="dxa"/>
            <w:tcBorders>
              <w:top w:val="nil"/>
              <w:left w:val="nil"/>
              <w:bottom w:val="nil"/>
              <w:right w:val="nil"/>
            </w:tcBorders>
            <w:shd w:val="clear" w:color="000000" w:fill="DDEBF7"/>
            <w:vAlign w:val="center"/>
            <w:hideMark/>
          </w:tcPr>
          <w:p w14:paraId="0D41A63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DDEBF7"/>
            <w:vAlign w:val="center"/>
            <w:hideMark/>
          </w:tcPr>
          <w:p w14:paraId="2A923A7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46DA15C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DDEBF7"/>
            <w:vAlign w:val="center"/>
            <w:hideMark/>
          </w:tcPr>
          <w:p w14:paraId="37823F0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6.16</w:t>
            </w:r>
          </w:p>
        </w:tc>
        <w:tc>
          <w:tcPr>
            <w:tcW w:w="680" w:type="dxa"/>
            <w:tcBorders>
              <w:top w:val="nil"/>
              <w:left w:val="nil"/>
              <w:bottom w:val="nil"/>
              <w:right w:val="nil"/>
            </w:tcBorders>
            <w:shd w:val="clear" w:color="000000" w:fill="DDEBF7"/>
            <w:vAlign w:val="center"/>
            <w:hideMark/>
          </w:tcPr>
          <w:p w14:paraId="1AB80B7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219BAE1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101.27%</w:t>
            </w:r>
          </w:p>
        </w:tc>
      </w:tr>
      <w:tr w:rsidR="00154D55" w:rsidRPr="00296E53" w14:paraId="1241340D"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24358881"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34C27D61"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 xml:space="preserve">ENVE </w:t>
            </w:r>
            <w:r w:rsidRPr="00154D55">
              <w:rPr>
                <w:rFonts w:ascii="Century Gothic" w:eastAsia="Times New Roman" w:hAnsi="Century Gothic" w:cs="Calibri"/>
                <w:color w:val="000000"/>
                <w:sz w:val="17"/>
                <w:szCs w:val="17"/>
                <w:vertAlign w:val="superscript"/>
                <w:lang w:val="en-US"/>
              </w:rPr>
              <w:t>d/</w:t>
            </w:r>
          </w:p>
        </w:tc>
        <w:tc>
          <w:tcPr>
            <w:tcW w:w="1720" w:type="dxa"/>
            <w:tcBorders>
              <w:top w:val="nil"/>
              <w:left w:val="single" w:sz="8" w:space="0" w:color="BFBFBF"/>
              <w:bottom w:val="nil"/>
              <w:right w:val="single" w:sz="8" w:space="0" w:color="BFBFBF"/>
            </w:tcBorders>
            <w:shd w:val="clear" w:color="000000" w:fill="DDEBF7"/>
            <w:vAlign w:val="center"/>
            <w:hideMark/>
          </w:tcPr>
          <w:p w14:paraId="2450B4C7"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2020</w:t>
            </w:r>
          </w:p>
        </w:tc>
        <w:tc>
          <w:tcPr>
            <w:tcW w:w="760" w:type="dxa"/>
            <w:tcBorders>
              <w:top w:val="nil"/>
              <w:left w:val="nil"/>
              <w:bottom w:val="nil"/>
              <w:right w:val="nil"/>
            </w:tcBorders>
            <w:shd w:val="clear" w:color="000000" w:fill="DDEBF7"/>
            <w:vAlign w:val="center"/>
            <w:hideMark/>
          </w:tcPr>
          <w:p w14:paraId="4733F52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DDEBF7"/>
            <w:vAlign w:val="center"/>
            <w:hideMark/>
          </w:tcPr>
          <w:p w14:paraId="2F50E89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 </w:t>
            </w:r>
          </w:p>
        </w:tc>
        <w:tc>
          <w:tcPr>
            <w:tcW w:w="1200" w:type="dxa"/>
            <w:tcBorders>
              <w:top w:val="nil"/>
              <w:left w:val="nil"/>
              <w:bottom w:val="nil"/>
              <w:right w:val="single" w:sz="8" w:space="0" w:color="BFBFBF"/>
            </w:tcBorders>
            <w:shd w:val="clear" w:color="000000" w:fill="DDEBF7"/>
            <w:vAlign w:val="center"/>
            <w:hideMark/>
          </w:tcPr>
          <w:p w14:paraId="4DF768E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w:t>
            </w:r>
          </w:p>
        </w:tc>
        <w:tc>
          <w:tcPr>
            <w:tcW w:w="980" w:type="dxa"/>
            <w:tcBorders>
              <w:top w:val="nil"/>
              <w:left w:val="nil"/>
              <w:bottom w:val="nil"/>
              <w:right w:val="nil"/>
            </w:tcBorders>
            <w:shd w:val="clear" w:color="000000" w:fill="DDEBF7"/>
            <w:vAlign w:val="center"/>
            <w:hideMark/>
          </w:tcPr>
          <w:p w14:paraId="2781534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27644B9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60" w:type="dxa"/>
            <w:tcBorders>
              <w:top w:val="nil"/>
              <w:left w:val="nil"/>
              <w:bottom w:val="nil"/>
              <w:right w:val="nil"/>
            </w:tcBorders>
            <w:shd w:val="clear" w:color="000000" w:fill="DDEBF7"/>
            <w:vAlign w:val="center"/>
            <w:hideMark/>
          </w:tcPr>
          <w:p w14:paraId="4DB5C62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DDEBF7"/>
            <w:vAlign w:val="center"/>
            <w:hideMark/>
          </w:tcPr>
          <w:p w14:paraId="518003F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3724D1E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DDEBF7"/>
            <w:vAlign w:val="center"/>
            <w:hideMark/>
          </w:tcPr>
          <w:p w14:paraId="1A94729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680" w:type="dxa"/>
            <w:tcBorders>
              <w:top w:val="nil"/>
              <w:left w:val="nil"/>
              <w:bottom w:val="nil"/>
              <w:right w:val="nil"/>
            </w:tcBorders>
            <w:shd w:val="clear" w:color="000000" w:fill="DDEBF7"/>
            <w:vAlign w:val="center"/>
            <w:hideMark/>
          </w:tcPr>
          <w:p w14:paraId="4BFCDA2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3E49049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r>
      <w:tr w:rsidR="00154D55" w:rsidRPr="00296E53" w14:paraId="06FAC6FA" w14:textId="77777777" w:rsidTr="00154D55">
        <w:trPr>
          <w:trHeight w:val="290"/>
          <w:jc w:val="center"/>
        </w:trPr>
        <w:tc>
          <w:tcPr>
            <w:tcW w:w="1180" w:type="dxa"/>
            <w:vMerge w:val="restart"/>
            <w:tcBorders>
              <w:top w:val="nil"/>
              <w:left w:val="single" w:sz="8" w:space="0" w:color="BFBFBF"/>
              <w:bottom w:val="nil"/>
              <w:right w:val="single" w:sz="8" w:space="0" w:color="BFBFBF"/>
            </w:tcBorders>
            <w:shd w:val="clear" w:color="000000" w:fill="BDD7EE"/>
            <w:vAlign w:val="center"/>
            <w:hideMark/>
          </w:tcPr>
          <w:p w14:paraId="6A76967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proofErr w:type="spellStart"/>
            <w:r w:rsidRPr="00154D55">
              <w:rPr>
                <w:rFonts w:ascii="Century Gothic" w:eastAsia="Times New Roman" w:hAnsi="Century Gothic" w:cs="Calibri"/>
                <w:color w:val="000000"/>
                <w:sz w:val="17"/>
                <w:szCs w:val="17"/>
                <w:lang w:val="en-US"/>
              </w:rPr>
              <w:t>Anual</w:t>
            </w:r>
            <w:proofErr w:type="spellEnd"/>
          </w:p>
        </w:tc>
        <w:tc>
          <w:tcPr>
            <w:tcW w:w="1060" w:type="dxa"/>
            <w:tcBorders>
              <w:top w:val="nil"/>
              <w:left w:val="nil"/>
              <w:bottom w:val="nil"/>
              <w:right w:val="nil"/>
            </w:tcBorders>
            <w:shd w:val="clear" w:color="000000" w:fill="BDD7EE"/>
            <w:vAlign w:val="center"/>
            <w:hideMark/>
          </w:tcPr>
          <w:p w14:paraId="627802FD"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ENVIPE</w:t>
            </w:r>
          </w:p>
        </w:tc>
        <w:tc>
          <w:tcPr>
            <w:tcW w:w="1720" w:type="dxa"/>
            <w:tcBorders>
              <w:top w:val="nil"/>
              <w:left w:val="single" w:sz="8" w:space="0" w:color="BFBFBF"/>
              <w:bottom w:val="nil"/>
              <w:right w:val="single" w:sz="8" w:space="0" w:color="BFBFBF"/>
            </w:tcBorders>
            <w:shd w:val="clear" w:color="000000" w:fill="BDD7EE"/>
            <w:vAlign w:val="center"/>
            <w:hideMark/>
          </w:tcPr>
          <w:p w14:paraId="31178BFD"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2020</w:t>
            </w:r>
          </w:p>
        </w:tc>
        <w:tc>
          <w:tcPr>
            <w:tcW w:w="760" w:type="dxa"/>
            <w:tcBorders>
              <w:top w:val="nil"/>
              <w:left w:val="nil"/>
              <w:bottom w:val="nil"/>
              <w:right w:val="nil"/>
            </w:tcBorders>
            <w:shd w:val="clear" w:color="000000" w:fill="BDD7EE"/>
            <w:vAlign w:val="center"/>
            <w:hideMark/>
          </w:tcPr>
          <w:p w14:paraId="6F6227D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66</w:t>
            </w:r>
          </w:p>
        </w:tc>
        <w:tc>
          <w:tcPr>
            <w:tcW w:w="780" w:type="dxa"/>
            <w:tcBorders>
              <w:top w:val="nil"/>
              <w:left w:val="nil"/>
              <w:bottom w:val="nil"/>
              <w:right w:val="single" w:sz="8" w:space="0" w:color="BFBFBF"/>
            </w:tcBorders>
            <w:shd w:val="clear" w:color="000000" w:fill="BDD7EE"/>
            <w:vAlign w:val="center"/>
            <w:hideMark/>
          </w:tcPr>
          <w:p w14:paraId="239F9FD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32</w:t>
            </w:r>
          </w:p>
        </w:tc>
        <w:tc>
          <w:tcPr>
            <w:tcW w:w="1200" w:type="dxa"/>
            <w:tcBorders>
              <w:top w:val="nil"/>
              <w:left w:val="nil"/>
              <w:bottom w:val="nil"/>
              <w:right w:val="single" w:sz="8" w:space="0" w:color="BFBFBF"/>
            </w:tcBorders>
            <w:shd w:val="clear" w:color="000000" w:fill="BDD7EE"/>
            <w:vAlign w:val="center"/>
            <w:hideMark/>
          </w:tcPr>
          <w:p w14:paraId="3DC436F3"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2B7CF06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w:t>
            </w:r>
          </w:p>
        </w:tc>
        <w:tc>
          <w:tcPr>
            <w:tcW w:w="880" w:type="dxa"/>
            <w:tcBorders>
              <w:top w:val="nil"/>
              <w:left w:val="nil"/>
              <w:bottom w:val="nil"/>
              <w:right w:val="single" w:sz="8" w:space="0" w:color="BFBFBF"/>
            </w:tcBorders>
            <w:shd w:val="clear" w:color="000000" w:fill="BDD7EE"/>
            <w:vAlign w:val="center"/>
            <w:hideMark/>
          </w:tcPr>
          <w:p w14:paraId="732071D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6.88%</w:t>
            </w:r>
          </w:p>
        </w:tc>
        <w:tc>
          <w:tcPr>
            <w:tcW w:w="760" w:type="dxa"/>
            <w:tcBorders>
              <w:top w:val="nil"/>
              <w:left w:val="nil"/>
              <w:bottom w:val="nil"/>
              <w:right w:val="nil"/>
            </w:tcBorders>
            <w:shd w:val="clear" w:color="000000" w:fill="BDD7EE"/>
            <w:vAlign w:val="center"/>
            <w:hideMark/>
          </w:tcPr>
          <w:p w14:paraId="3EBD3D8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20" w:type="dxa"/>
            <w:tcBorders>
              <w:top w:val="nil"/>
              <w:left w:val="nil"/>
              <w:bottom w:val="nil"/>
              <w:right w:val="single" w:sz="8" w:space="0" w:color="BFBFBF"/>
            </w:tcBorders>
            <w:shd w:val="clear" w:color="000000" w:fill="BDD7EE"/>
            <w:vAlign w:val="center"/>
            <w:hideMark/>
          </w:tcPr>
          <w:p w14:paraId="7CEEECE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7503AAA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5.91%</w:t>
            </w:r>
          </w:p>
        </w:tc>
        <w:tc>
          <w:tcPr>
            <w:tcW w:w="840" w:type="dxa"/>
            <w:tcBorders>
              <w:top w:val="nil"/>
              <w:left w:val="nil"/>
              <w:bottom w:val="nil"/>
              <w:right w:val="single" w:sz="8" w:space="0" w:color="BFBFBF"/>
            </w:tcBorders>
            <w:shd w:val="clear" w:color="000000" w:fill="BDD7EE"/>
            <w:vAlign w:val="center"/>
            <w:hideMark/>
          </w:tcPr>
          <w:p w14:paraId="28B73E0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6.82</w:t>
            </w:r>
          </w:p>
        </w:tc>
        <w:tc>
          <w:tcPr>
            <w:tcW w:w="680" w:type="dxa"/>
            <w:tcBorders>
              <w:top w:val="nil"/>
              <w:left w:val="nil"/>
              <w:bottom w:val="nil"/>
              <w:right w:val="nil"/>
            </w:tcBorders>
            <w:shd w:val="clear" w:color="000000" w:fill="BDD7EE"/>
            <w:vAlign w:val="center"/>
            <w:hideMark/>
          </w:tcPr>
          <w:p w14:paraId="18D49A7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105%</w:t>
            </w:r>
          </w:p>
        </w:tc>
        <w:tc>
          <w:tcPr>
            <w:tcW w:w="880" w:type="dxa"/>
            <w:tcBorders>
              <w:top w:val="nil"/>
              <w:left w:val="nil"/>
              <w:bottom w:val="nil"/>
              <w:right w:val="single" w:sz="8" w:space="0" w:color="BFBFBF"/>
            </w:tcBorders>
            <w:shd w:val="clear" w:color="000000" w:fill="BDD7EE"/>
            <w:vAlign w:val="center"/>
            <w:hideMark/>
          </w:tcPr>
          <w:p w14:paraId="2F37B3D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105.48%</w:t>
            </w:r>
          </w:p>
        </w:tc>
      </w:tr>
      <w:tr w:rsidR="00154D55" w:rsidRPr="00296E53" w14:paraId="4111B752"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5DB01B11"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480B487F"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ENDUTIH</w:t>
            </w:r>
          </w:p>
        </w:tc>
        <w:tc>
          <w:tcPr>
            <w:tcW w:w="1720" w:type="dxa"/>
            <w:tcBorders>
              <w:top w:val="nil"/>
              <w:left w:val="single" w:sz="8" w:space="0" w:color="BFBFBF"/>
              <w:bottom w:val="nil"/>
              <w:right w:val="single" w:sz="8" w:space="0" w:color="BFBFBF"/>
            </w:tcBorders>
            <w:shd w:val="clear" w:color="000000" w:fill="BDD7EE"/>
            <w:vAlign w:val="center"/>
            <w:hideMark/>
          </w:tcPr>
          <w:p w14:paraId="73E90A7F"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BDD7EE"/>
            <w:vAlign w:val="center"/>
            <w:hideMark/>
          </w:tcPr>
          <w:p w14:paraId="4E44AC9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3B9DD97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1200" w:type="dxa"/>
            <w:tcBorders>
              <w:top w:val="nil"/>
              <w:left w:val="nil"/>
              <w:bottom w:val="nil"/>
              <w:right w:val="single" w:sz="8" w:space="0" w:color="BFBFBF"/>
            </w:tcBorders>
            <w:shd w:val="clear" w:color="000000" w:fill="BDD7EE"/>
            <w:vAlign w:val="center"/>
            <w:hideMark/>
          </w:tcPr>
          <w:p w14:paraId="31ACCEC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4D85574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0F71EE0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60" w:type="dxa"/>
            <w:tcBorders>
              <w:top w:val="nil"/>
              <w:left w:val="nil"/>
              <w:bottom w:val="nil"/>
              <w:right w:val="nil"/>
            </w:tcBorders>
            <w:shd w:val="clear" w:color="000000" w:fill="BDD7EE"/>
            <w:vAlign w:val="center"/>
            <w:hideMark/>
          </w:tcPr>
          <w:p w14:paraId="20C43A1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BDD7EE"/>
            <w:vAlign w:val="center"/>
            <w:hideMark/>
          </w:tcPr>
          <w:p w14:paraId="22F6224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578E036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BDD7EE"/>
            <w:vAlign w:val="center"/>
            <w:hideMark/>
          </w:tcPr>
          <w:p w14:paraId="7E24E7F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680" w:type="dxa"/>
            <w:tcBorders>
              <w:top w:val="nil"/>
              <w:left w:val="nil"/>
              <w:bottom w:val="nil"/>
              <w:right w:val="nil"/>
            </w:tcBorders>
            <w:shd w:val="clear" w:color="000000" w:fill="BDD7EE"/>
            <w:vAlign w:val="center"/>
            <w:hideMark/>
          </w:tcPr>
          <w:p w14:paraId="68E5053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3505F84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r>
      <w:tr w:rsidR="00154D55" w:rsidRPr="00296E53" w14:paraId="0250DA1D"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5FB2993B"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61AD6178"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MOCIBA</w:t>
            </w:r>
          </w:p>
        </w:tc>
        <w:tc>
          <w:tcPr>
            <w:tcW w:w="1720" w:type="dxa"/>
            <w:tcBorders>
              <w:top w:val="nil"/>
              <w:left w:val="single" w:sz="8" w:space="0" w:color="BFBFBF"/>
              <w:bottom w:val="nil"/>
              <w:right w:val="single" w:sz="8" w:space="0" w:color="BFBFBF"/>
            </w:tcBorders>
            <w:shd w:val="clear" w:color="000000" w:fill="BDD7EE"/>
            <w:vAlign w:val="center"/>
            <w:hideMark/>
          </w:tcPr>
          <w:p w14:paraId="53812E28"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BDD7EE"/>
            <w:vAlign w:val="center"/>
            <w:hideMark/>
          </w:tcPr>
          <w:p w14:paraId="1DD48E2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7E5E049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1200" w:type="dxa"/>
            <w:tcBorders>
              <w:top w:val="nil"/>
              <w:left w:val="nil"/>
              <w:bottom w:val="nil"/>
              <w:right w:val="single" w:sz="8" w:space="0" w:color="BFBFBF"/>
            </w:tcBorders>
            <w:shd w:val="clear" w:color="000000" w:fill="BDD7EE"/>
            <w:vAlign w:val="center"/>
            <w:hideMark/>
          </w:tcPr>
          <w:p w14:paraId="77E23AC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3CF64AF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4FA7FCF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60" w:type="dxa"/>
            <w:tcBorders>
              <w:top w:val="nil"/>
              <w:left w:val="nil"/>
              <w:bottom w:val="nil"/>
              <w:right w:val="nil"/>
            </w:tcBorders>
            <w:shd w:val="clear" w:color="000000" w:fill="BDD7EE"/>
            <w:vAlign w:val="center"/>
            <w:hideMark/>
          </w:tcPr>
          <w:p w14:paraId="7AA071E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BDD7EE"/>
            <w:vAlign w:val="center"/>
            <w:hideMark/>
          </w:tcPr>
          <w:p w14:paraId="783DE95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7A2E247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BDD7EE"/>
            <w:vAlign w:val="center"/>
            <w:hideMark/>
          </w:tcPr>
          <w:p w14:paraId="573901E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680" w:type="dxa"/>
            <w:tcBorders>
              <w:top w:val="nil"/>
              <w:left w:val="nil"/>
              <w:bottom w:val="nil"/>
              <w:right w:val="nil"/>
            </w:tcBorders>
            <w:shd w:val="clear" w:color="000000" w:fill="BDD7EE"/>
            <w:vAlign w:val="center"/>
            <w:hideMark/>
          </w:tcPr>
          <w:p w14:paraId="410AE8B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5A8D85B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r>
      <w:tr w:rsidR="00154D55" w:rsidRPr="00296E53" w14:paraId="69096365"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72CC4953"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2225D73D"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MOPRADEF</w:t>
            </w:r>
          </w:p>
        </w:tc>
        <w:tc>
          <w:tcPr>
            <w:tcW w:w="1720" w:type="dxa"/>
            <w:tcBorders>
              <w:top w:val="nil"/>
              <w:left w:val="single" w:sz="8" w:space="0" w:color="BFBFBF"/>
              <w:bottom w:val="nil"/>
              <w:right w:val="single" w:sz="8" w:space="0" w:color="BFBFBF"/>
            </w:tcBorders>
            <w:shd w:val="clear" w:color="000000" w:fill="BDD7EE"/>
            <w:vAlign w:val="center"/>
            <w:hideMark/>
          </w:tcPr>
          <w:p w14:paraId="20BF00BA"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2020</w:t>
            </w:r>
          </w:p>
        </w:tc>
        <w:tc>
          <w:tcPr>
            <w:tcW w:w="760" w:type="dxa"/>
            <w:tcBorders>
              <w:top w:val="nil"/>
              <w:left w:val="nil"/>
              <w:bottom w:val="nil"/>
              <w:right w:val="nil"/>
            </w:tcBorders>
            <w:shd w:val="clear" w:color="000000" w:fill="BDD7EE"/>
            <w:vAlign w:val="center"/>
            <w:hideMark/>
          </w:tcPr>
          <w:p w14:paraId="5A8B909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w:t>
            </w:r>
          </w:p>
        </w:tc>
        <w:tc>
          <w:tcPr>
            <w:tcW w:w="780" w:type="dxa"/>
            <w:tcBorders>
              <w:top w:val="nil"/>
              <w:left w:val="nil"/>
              <w:bottom w:val="nil"/>
              <w:right w:val="single" w:sz="8" w:space="0" w:color="BFBFBF"/>
            </w:tcBorders>
            <w:shd w:val="clear" w:color="000000" w:fill="BDD7EE"/>
            <w:vAlign w:val="center"/>
            <w:hideMark/>
          </w:tcPr>
          <w:p w14:paraId="3736294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w:t>
            </w:r>
          </w:p>
        </w:tc>
        <w:tc>
          <w:tcPr>
            <w:tcW w:w="1200" w:type="dxa"/>
            <w:tcBorders>
              <w:top w:val="nil"/>
              <w:left w:val="nil"/>
              <w:bottom w:val="nil"/>
              <w:right w:val="single" w:sz="8" w:space="0" w:color="BFBFBF"/>
            </w:tcBorders>
            <w:shd w:val="clear" w:color="000000" w:fill="BDD7EE"/>
            <w:vAlign w:val="center"/>
            <w:hideMark/>
          </w:tcPr>
          <w:p w14:paraId="33DB36E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7BD6242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14%</w:t>
            </w:r>
          </w:p>
        </w:tc>
        <w:tc>
          <w:tcPr>
            <w:tcW w:w="880" w:type="dxa"/>
            <w:tcBorders>
              <w:top w:val="nil"/>
              <w:left w:val="nil"/>
              <w:bottom w:val="nil"/>
              <w:right w:val="single" w:sz="8" w:space="0" w:color="BFBFBF"/>
            </w:tcBorders>
            <w:shd w:val="clear" w:color="000000" w:fill="BDD7EE"/>
            <w:vAlign w:val="center"/>
            <w:hideMark/>
          </w:tcPr>
          <w:p w14:paraId="61356C5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14.68%</w:t>
            </w:r>
          </w:p>
        </w:tc>
        <w:tc>
          <w:tcPr>
            <w:tcW w:w="760" w:type="dxa"/>
            <w:tcBorders>
              <w:top w:val="nil"/>
              <w:left w:val="nil"/>
              <w:bottom w:val="nil"/>
              <w:right w:val="nil"/>
            </w:tcBorders>
            <w:shd w:val="clear" w:color="000000" w:fill="BDD7EE"/>
            <w:vAlign w:val="center"/>
            <w:hideMark/>
          </w:tcPr>
          <w:p w14:paraId="5989475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20" w:type="dxa"/>
            <w:tcBorders>
              <w:top w:val="nil"/>
              <w:left w:val="nil"/>
              <w:bottom w:val="nil"/>
              <w:right w:val="single" w:sz="8" w:space="0" w:color="BFBFBF"/>
            </w:tcBorders>
            <w:shd w:val="clear" w:color="000000" w:fill="BDD7EE"/>
            <w:vAlign w:val="center"/>
            <w:hideMark/>
          </w:tcPr>
          <w:p w14:paraId="02831F1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7B4B7AB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840" w:type="dxa"/>
            <w:tcBorders>
              <w:top w:val="nil"/>
              <w:left w:val="nil"/>
              <w:bottom w:val="nil"/>
              <w:right w:val="single" w:sz="8" w:space="0" w:color="BFBFBF"/>
            </w:tcBorders>
            <w:shd w:val="clear" w:color="000000" w:fill="BDD7EE"/>
            <w:vAlign w:val="center"/>
            <w:hideMark/>
          </w:tcPr>
          <w:p w14:paraId="19AF600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7.59</w:t>
            </w:r>
          </w:p>
        </w:tc>
        <w:tc>
          <w:tcPr>
            <w:tcW w:w="680" w:type="dxa"/>
            <w:tcBorders>
              <w:top w:val="nil"/>
              <w:left w:val="nil"/>
              <w:bottom w:val="nil"/>
              <w:right w:val="nil"/>
            </w:tcBorders>
            <w:shd w:val="clear" w:color="000000" w:fill="BDD7EE"/>
            <w:vAlign w:val="center"/>
            <w:hideMark/>
          </w:tcPr>
          <w:p w14:paraId="7804ABA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663A638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100.12%</w:t>
            </w:r>
          </w:p>
        </w:tc>
      </w:tr>
      <w:tr w:rsidR="00154D55" w:rsidRPr="00296E53" w14:paraId="76FE7E07"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283717B9"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6495DB9D"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MODECULT</w:t>
            </w:r>
          </w:p>
        </w:tc>
        <w:tc>
          <w:tcPr>
            <w:tcW w:w="1720" w:type="dxa"/>
            <w:tcBorders>
              <w:top w:val="nil"/>
              <w:left w:val="single" w:sz="8" w:space="0" w:color="BFBFBF"/>
              <w:bottom w:val="nil"/>
              <w:right w:val="single" w:sz="8" w:space="0" w:color="BFBFBF"/>
            </w:tcBorders>
            <w:shd w:val="clear" w:color="000000" w:fill="DDEBF7"/>
            <w:vAlign w:val="center"/>
            <w:hideMark/>
          </w:tcPr>
          <w:p w14:paraId="6416F3D8"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2020</w:t>
            </w:r>
          </w:p>
        </w:tc>
        <w:tc>
          <w:tcPr>
            <w:tcW w:w="760" w:type="dxa"/>
            <w:tcBorders>
              <w:top w:val="nil"/>
              <w:left w:val="nil"/>
              <w:bottom w:val="nil"/>
              <w:right w:val="nil"/>
            </w:tcBorders>
            <w:shd w:val="clear" w:color="000000" w:fill="DDEBF7"/>
            <w:vAlign w:val="center"/>
            <w:hideMark/>
          </w:tcPr>
          <w:p w14:paraId="5F958F3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w:t>
            </w:r>
          </w:p>
        </w:tc>
        <w:tc>
          <w:tcPr>
            <w:tcW w:w="780" w:type="dxa"/>
            <w:tcBorders>
              <w:top w:val="nil"/>
              <w:left w:val="nil"/>
              <w:bottom w:val="nil"/>
              <w:right w:val="single" w:sz="8" w:space="0" w:color="BFBFBF"/>
            </w:tcBorders>
            <w:shd w:val="clear" w:color="000000" w:fill="DDEBF7"/>
            <w:vAlign w:val="center"/>
            <w:hideMark/>
          </w:tcPr>
          <w:p w14:paraId="07A32FF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w:t>
            </w:r>
          </w:p>
        </w:tc>
        <w:tc>
          <w:tcPr>
            <w:tcW w:w="1200" w:type="dxa"/>
            <w:tcBorders>
              <w:top w:val="nil"/>
              <w:left w:val="nil"/>
              <w:bottom w:val="nil"/>
              <w:right w:val="single" w:sz="8" w:space="0" w:color="BFBFBF"/>
            </w:tcBorders>
            <w:shd w:val="clear" w:color="000000" w:fill="DDEBF7"/>
            <w:vAlign w:val="center"/>
            <w:hideMark/>
          </w:tcPr>
          <w:p w14:paraId="1A7385B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DDEBF7"/>
            <w:vAlign w:val="center"/>
            <w:hideMark/>
          </w:tcPr>
          <w:p w14:paraId="5CDDDB2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880" w:type="dxa"/>
            <w:tcBorders>
              <w:top w:val="nil"/>
              <w:left w:val="nil"/>
              <w:bottom w:val="nil"/>
              <w:right w:val="single" w:sz="8" w:space="0" w:color="BFBFBF"/>
            </w:tcBorders>
            <w:shd w:val="clear" w:color="000000" w:fill="DDEBF7"/>
            <w:vAlign w:val="center"/>
            <w:hideMark/>
          </w:tcPr>
          <w:p w14:paraId="462C616C" w14:textId="77777777" w:rsidR="00154D55" w:rsidRPr="00154D55" w:rsidRDefault="00154D55" w:rsidP="00154D55">
            <w:pPr>
              <w:spacing w:after="0" w:line="240" w:lineRule="auto"/>
              <w:jc w:val="center"/>
              <w:rPr>
                <w:rFonts w:ascii="Century Gothic" w:eastAsia="Times New Roman" w:hAnsi="Century Gothic" w:cs="Calibri"/>
                <w:b/>
                <w:bCs/>
                <w:color w:val="000000"/>
                <w:sz w:val="17"/>
                <w:szCs w:val="17"/>
                <w:lang w:val="en-US"/>
              </w:rPr>
            </w:pPr>
            <w:r w:rsidRPr="00154D55">
              <w:rPr>
                <w:rFonts w:ascii="Century Gothic" w:eastAsia="Times New Roman" w:hAnsi="Century Gothic" w:cs="Calibri"/>
                <w:b/>
                <w:bCs/>
                <w:color w:val="000000"/>
                <w:sz w:val="17"/>
                <w:szCs w:val="17"/>
                <w:lang w:val="en-US"/>
              </w:rPr>
              <w:t>29.11%</w:t>
            </w:r>
          </w:p>
        </w:tc>
        <w:tc>
          <w:tcPr>
            <w:tcW w:w="760" w:type="dxa"/>
            <w:tcBorders>
              <w:top w:val="nil"/>
              <w:left w:val="nil"/>
              <w:bottom w:val="nil"/>
              <w:right w:val="nil"/>
            </w:tcBorders>
            <w:shd w:val="clear" w:color="000000" w:fill="DDEBF7"/>
            <w:vAlign w:val="center"/>
            <w:hideMark/>
          </w:tcPr>
          <w:p w14:paraId="2FA23D4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7E16C7B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4AF8339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8.22%</w:t>
            </w:r>
          </w:p>
        </w:tc>
        <w:tc>
          <w:tcPr>
            <w:tcW w:w="840" w:type="dxa"/>
            <w:tcBorders>
              <w:top w:val="nil"/>
              <w:left w:val="nil"/>
              <w:bottom w:val="nil"/>
              <w:right w:val="single" w:sz="8" w:space="0" w:color="BFBFBF"/>
            </w:tcBorders>
            <w:shd w:val="clear" w:color="000000" w:fill="DDEBF7"/>
            <w:vAlign w:val="center"/>
            <w:hideMark/>
          </w:tcPr>
          <w:p w14:paraId="2EDFCA4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8.61</w:t>
            </w:r>
          </w:p>
        </w:tc>
        <w:tc>
          <w:tcPr>
            <w:tcW w:w="680" w:type="dxa"/>
            <w:tcBorders>
              <w:top w:val="nil"/>
              <w:left w:val="nil"/>
              <w:bottom w:val="nil"/>
              <w:right w:val="nil"/>
            </w:tcBorders>
            <w:shd w:val="clear" w:color="000000" w:fill="DDEBF7"/>
            <w:vAlign w:val="center"/>
            <w:hideMark/>
          </w:tcPr>
          <w:p w14:paraId="5A5EBB0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100%</w:t>
            </w:r>
          </w:p>
        </w:tc>
        <w:tc>
          <w:tcPr>
            <w:tcW w:w="880" w:type="dxa"/>
            <w:tcBorders>
              <w:top w:val="nil"/>
              <w:left w:val="nil"/>
              <w:bottom w:val="nil"/>
              <w:right w:val="single" w:sz="8" w:space="0" w:color="BFBFBF"/>
            </w:tcBorders>
            <w:shd w:val="clear" w:color="000000" w:fill="DDEBF7"/>
            <w:vAlign w:val="center"/>
            <w:hideMark/>
          </w:tcPr>
          <w:p w14:paraId="7F3A348A" w14:textId="77777777" w:rsidR="00154D55" w:rsidRPr="00154D55" w:rsidRDefault="00154D55" w:rsidP="00154D55">
            <w:pPr>
              <w:spacing w:after="0" w:line="240" w:lineRule="auto"/>
              <w:jc w:val="center"/>
              <w:rPr>
                <w:rFonts w:ascii="Century Gothic" w:eastAsia="Times New Roman" w:hAnsi="Century Gothic" w:cs="Calibri"/>
                <w:b/>
                <w:bCs/>
                <w:color w:val="000000"/>
                <w:sz w:val="17"/>
                <w:szCs w:val="17"/>
                <w:lang w:val="en-US"/>
              </w:rPr>
            </w:pPr>
            <w:r w:rsidRPr="00154D55">
              <w:rPr>
                <w:rFonts w:ascii="Century Gothic" w:eastAsia="Times New Roman" w:hAnsi="Century Gothic" w:cs="Calibri"/>
                <w:b/>
                <w:bCs/>
                <w:color w:val="000000"/>
                <w:sz w:val="17"/>
                <w:szCs w:val="17"/>
                <w:lang w:val="en-US"/>
              </w:rPr>
              <w:t>83.75%</w:t>
            </w:r>
          </w:p>
        </w:tc>
      </w:tr>
      <w:tr w:rsidR="00154D55" w:rsidRPr="00296E53" w14:paraId="73F6FCF6"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1C35C1F7"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555ED81A"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MOLEC</w:t>
            </w:r>
          </w:p>
        </w:tc>
        <w:tc>
          <w:tcPr>
            <w:tcW w:w="1720" w:type="dxa"/>
            <w:tcBorders>
              <w:top w:val="nil"/>
              <w:left w:val="single" w:sz="8" w:space="0" w:color="BFBFBF"/>
              <w:bottom w:val="nil"/>
              <w:right w:val="single" w:sz="8" w:space="0" w:color="BFBFBF"/>
            </w:tcBorders>
            <w:shd w:val="clear" w:color="000000" w:fill="DDEBF7"/>
            <w:vAlign w:val="center"/>
            <w:hideMark/>
          </w:tcPr>
          <w:p w14:paraId="32954034"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2020</w:t>
            </w:r>
          </w:p>
        </w:tc>
        <w:tc>
          <w:tcPr>
            <w:tcW w:w="760" w:type="dxa"/>
            <w:tcBorders>
              <w:top w:val="nil"/>
              <w:left w:val="nil"/>
              <w:bottom w:val="nil"/>
              <w:right w:val="nil"/>
            </w:tcBorders>
            <w:shd w:val="clear" w:color="000000" w:fill="DDEBF7"/>
            <w:vAlign w:val="center"/>
            <w:hideMark/>
          </w:tcPr>
          <w:p w14:paraId="22CCCDC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w:t>
            </w:r>
          </w:p>
        </w:tc>
        <w:tc>
          <w:tcPr>
            <w:tcW w:w="780" w:type="dxa"/>
            <w:tcBorders>
              <w:top w:val="nil"/>
              <w:left w:val="nil"/>
              <w:bottom w:val="nil"/>
              <w:right w:val="single" w:sz="8" w:space="0" w:color="BFBFBF"/>
            </w:tcBorders>
            <w:shd w:val="clear" w:color="000000" w:fill="DDEBF7"/>
            <w:vAlign w:val="center"/>
            <w:hideMark/>
          </w:tcPr>
          <w:p w14:paraId="2600132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w:t>
            </w:r>
          </w:p>
        </w:tc>
        <w:tc>
          <w:tcPr>
            <w:tcW w:w="1200" w:type="dxa"/>
            <w:tcBorders>
              <w:top w:val="nil"/>
              <w:left w:val="nil"/>
              <w:bottom w:val="nil"/>
              <w:right w:val="single" w:sz="8" w:space="0" w:color="BFBFBF"/>
            </w:tcBorders>
            <w:shd w:val="clear" w:color="000000" w:fill="DDEBF7"/>
            <w:vAlign w:val="center"/>
            <w:hideMark/>
          </w:tcPr>
          <w:p w14:paraId="6BECA02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DDEBF7"/>
            <w:vAlign w:val="center"/>
            <w:hideMark/>
          </w:tcPr>
          <w:p w14:paraId="6FC8ED3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880" w:type="dxa"/>
            <w:tcBorders>
              <w:top w:val="nil"/>
              <w:left w:val="nil"/>
              <w:bottom w:val="nil"/>
              <w:right w:val="single" w:sz="8" w:space="0" w:color="BFBFBF"/>
            </w:tcBorders>
            <w:shd w:val="clear" w:color="000000" w:fill="DDEBF7"/>
            <w:vAlign w:val="center"/>
            <w:hideMark/>
          </w:tcPr>
          <w:p w14:paraId="0A40D99B"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14.42%</w:t>
            </w:r>
          </w:p>
        </w:tc>
        <w:tc>
          <w:tcPr>
            <w:tcW w:w="760" w:type="dxa"/>
            <w:tcBorders>
              <w:top w:val="nil"/>
              <w:left w:val="nil"/>
              <w:bottom w:val="nil"/>
              <w:right w:val="nil"/>
            </w:tcBorders>
            <w:shd w:val="clear" w:color="000000" w:fill="DDEBF7"/>
            <w:vAlign w:val="center"/>
            <w:hideMark/>
          </w:tcPr>
          <w:p w14:paraId="74E8D09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229652E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7BF6FDB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8.26%</w:t>
            </w:r>
          </w:p>
        </w:tc>
        <w:tc>
          <w:tcPr>
            <w:tcW w:w="840" w:type="dxa"/>
            <w:tcBorders>
              <w:top w:val="nil"/>
              <w:left w:val="nil"/>
              <w:bottom w:val="nil"/>
              <w:right w:val="single" w:sz="8" w:space="0" w:color="BFBFBF"/>
            </w:tcBorders>
            <w:shd w:val="clear" w:color="000000" w:fill="DDEBF7"/>
            <w:vAlign w:val="center"/>
            <w:hideMark/>
          </w:tcPr>
          <w:p w14:paraId="4D707693"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7.4</w:t>
            </w:r>
          </w:p>
        </w:tc>
        <w:tc>
          <w:tcPr>
            <w:tcW w:w="680" w:type="dxa"/>
            <w:tcBorders>
              <w:top w:val="nil"/>
              <w:left w:val="nil"/>
              <w:bottom w:val="nil"/>
              <w:right w:val="nil"/>
            </w:tcBorders>
            <w:shd w:val="clear" w:color="000000" w:fill="DDEBF7"/>
            <w:vAlign w:val="center"/>
            <w:hideMark/>
          </w:tcPr>
          <w:p w14:paraId="6E81D39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100%</w:t>
            </w:r>
          </w:p>
        </w:tc>
        <w:tc>
          <w:tcPr>
            <w:tcW w:w="880" w:type="dxa"/>
            <w:tcBorders>
              <w:top w:val="nil"/>
              <w:left w:val="nil"/>
              <w:bottom w:val="nil"/>
              <w:right w:val="single" w:sz="8" w:space="0" w:color="BFBFBF"/>
            </w:tcBorders>
            <w:shd w:val="clear" w:color="000000" w:fill="DDEBF7"/>
            <w:vAlign w:val="center"/>
            <w:hideMark/>
          </w:tcPr>
          <w:p w14:paraId="05A05C0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101.23%</w:t>
            </w:r>
          </w:p>
        </w:tc>
      </w:tr>
      <w:tr w:rsidR="00154D55" w:rsidRPr="00296E53" w14:paraId="07D8A0B1"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65535EB4"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4A650A9D"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EAC</w:t>
            </w:r>
          </w:p>
        </w:tc>
        <w:tc>
          <w:tcPr>
            <w:tcW w:w="1720" w:type="dxa"/>
            <w:tcBorders>
              <w:top w:val="nil"/>
              <w:left w:val="single" w:sz="8" w:space="0" w:color="BFBFBF"/>
              <w:bottom w:val="nil"/>
              <w:right w:val="single" w:sz="8" w:space="0" w:color="BFBFBF"/>
            </w:tcBorders>
            <w:shd w:val="clear" w:color="000000" w:fill="DDEBF7"/>
            <w:vAlign w:val="center"/>
            <w:hideMark/>
          </w:tcPr>
          <w:p w14:paraId="2155001B"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DDEBF7"/>
            <w:vAlign w:val="center"/>
            <w:hideMark/>
          </w:tcPr>
          <w:p w14:paraId="54F1C1D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DDEBF7"/>
            <w:vAlign w:val="center"/>
            <w:hideMark/>
          </w:tcPr>
          <w:p w14:paraId="59A5E0CB"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1200" w:type="dxa"/>
            <w:tcBorders>
              <w:top w:val="nil"/>
              <w:left w:val="nil"/>
              <w:bottom w:val="nil"/>
              <w:right w:val="single" w:sz="8" w:space="0" w:color="BFBFBF"/>
            </w:tcBorders>
            <w:shd w:val="clear" w:color="000000" w:fill="DDEBF7"/>
            <w:vAlign w:val="center"/>
            <w:hideMark/>
          </w:tcPr>
          <w:p w14:paraId="4BADB27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DDEBF7"/>
            <w:vAlign w:val="center"/>
            <w:hideMark/>
          </w:tcPr>
          <w:p w14:paraId="61A4A6EB"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04A472D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60" w:type="dxa"/>
            <w:tcBorders>
              <w:top w:val="nil"/>
              <w:left w:val="nil"/>
              <w:bottom w:val="nil"/>
              <w:right w:val="nil"/>
            </w:tcBorders>
            <w:shd w:val="clear" w:color="000000" w:fill="DDEBF7"/>
            <w:vAlign w:val="center"/>
            <w:hideMark/>
          </w:tcPr>
          <w:p w14:paraId="33D68A6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48888BA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39615CC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840" w:type="dxa"/>
            <w:tcBorders>
              <w:top w:val="nil"/>
              <w:left w:val="nil"/>
              <w:bottom w:val="nil"/>
              <w:right w:val="single" w:sz="8" w:space="0" w:color="BFBFBF"/>
            </w:tcBorders>
            <w:shd w:val="clear" w:color="000000" w:fill="DDEBF7"/>
            <w:vAlign w:val="center"/>
            <w:hideMark/>
          </w:tcPr>
          <w:p w14:paraId="67312E7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680" w:type="dxa"/>
            <w:tcBorders>
              <w:top w:val="nil"/>
              <w:left w:val="nil"/>
              <w:bottom w:val="nil"/>
              <w:right w:val="nil"/>
            </w:tcBorders>
            <w:shd w:val="clear" w:color="000000" w:fill="DDEBF7"/>
            <w:vAlign w:val="center"/>
            <w:hideMark/>
          </w:tcPr>
          <w:p w14:paraId="64D03B7B"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2386DCF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r>
      <w:tr w:rsidR="00154D55" w:rsidRPr="00296E53" w14:paraId="0AE1A4F2"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1C99646B"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43AE269A"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EAEC</w:t>
            </w:r>
          </w:p>
        </w:tc>
        <w:tc>
          <w:tcPr>
            <w:tcW w:w="1720" w:type="dxa"/>
            <w:tcBorders>
              <w:top w:val="nil"/>
              <w:left w:val="single" w:sz="8" w:space="0" w:color="BFBFBF"/>
              <w:bottom w:val="nil"/>
              <w:right w:val="single" w:sz="8" w:space="0" w:color="BFBFBF"/>
            </w:tcBorders>
            <w:shd w:val="clear" w:color="000000" w:fill="DDEBF7"/>
            <w:vAlign w:val="center"/>
            <w:hideMark/>
          </w:tcPr>
          <w:p w14:paraId="0B0BB199"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2019</w:t>
            </w:r>
          </w:p>
        </w:tc>
        <w:tc>
          <w:tcPr>
            <w:tcW w:w="760" w:type="dxa"/>
            <w:tcBorders>
              <w:top w:val="nil"/>
              <w:left w:val="nil"/>
              <w:bottom w:val="nil"/>
              <w:right w:val="nil"/>
            </w:tcBorders>
            <w:shd w:val="clear" w:color="000000" w:fill="DDEBF7"/>
            <w:vAlign w:val="center"/>
            <w:hideMark/>
          </w:tcPr>
          <w:p w14:paraId="5AA8F14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w:t>
            </w:r>
          </w:p>
        </w:tc>
        <w:tc>
          <w:tcPr>
            <w:tcW w:w="780" w:type="dxa"/>
            <w:tcBorders>
              <w:top w:val="nil"/>
              <w:left w:val="nil"/>
              <w:bottom w:val="nil"/>
              <w:right w:val="single" w:sz="8" w:space="0" w:color="BFBFBF"/>
            </w:tcBorders>
            <w:shd w:val="clear" w:color="000000" w:fill="DDEBF7"/>
            <w:vAlign w:val="center"/>
            <w:hideMark/>
          </w:tcPr>
          <w:p w14:paraId="1E3D219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35</w:t>
            </w:r>
          </w:p>
        </w:tc>
        <w:tc>
          <w:tcPr>
            <w:tcW w:w="1200" w:type="dxa"/>
            <w:tcBorders>
              <w:top w:val="nil"/>
              <w:left w:val="nil"/>
              <w:bottom w:val="nil"/>
              <w:right w:val="single" w:sz="8" w:space="0" w:color="BFBFBF"/>
            </w:tcBorders>
            <w:shd w:val="clear" w:color="000000" w:fill="DDEBF7"/>
            <w:vAlign w:val="center"/>
            <w:hideMark/>
          </w:tcPr>
          <w:p w14:paraId="2A3D52F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w:t>
            </w:r>
          </w:p>
        </w:tc>
        <w:tc>
          <w:tcPr>
            <w:tcW w:w="980" w:type="dxa"/>
            <w:tcBorders>
              <w:top w:val="nil"/>
              <w:left w:val="nil"/>
              <w:bottom w:val="nil"/>
              <w:right w:val="nil"/>
            </w:tcBorders>
            <w:shd w:val="clear" w:color="000000" w:fill="DDEBF7"/>
            <w:vAlign w:val="center"/>
            <w:hideMark/>
          </w:tcPr>
          <w:p w14:paraId="0DA4129E"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6A6ADEC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13.82%</w:t>
            </w:r>
          </w:p>
        </w:tc>
        <w:tc>
          <w:tcPr>
            <w:tcW w:w="760" w:type="dxa"/>
            <w:tcBorders>
              <w:top w:val="nil"/>
              <w:left w:val="nil"/>
              <w:bottom w:val="nil"/>
              <w:right w:val="nil"/>
            </w:tcBorders>
            <w:shd w:val="clear" w:color="000000" w:fill="DDEBF7"/>
            <w:vAlign w:val="center"/>
            <w:hideMark/>
          </w:tcPr>
          <w:p w14:paraId="20F299D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1605BE5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15.41%</w:t>
            </w:r>
          </w:p>
        </w:tc>
        <w:tc>
          <w:tcPr>
            <w:tcW w:w="780" w:type="dxa"/>
            <w:tcBorders>
              <w:top w:val="nil"/>
              <w:left w:val="nil"/>
              <w:bottom w:val="nil"/>
              <w:right w:val="nil"/>
            </w:tcBorders>
            <w:shd w:val="clear" w:color="000000" w:fill="DDEBF7"/>
            <w:vAlign w:val="center"/>
            <w:hideMark/>
          </w:tcPr>
          <w:p w14:paraId="7564615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40" w:type="dxa"/>
            <w:tcBorders>
              <w:top w:val="nil"/>
              <w:left w:val="nil"/>
              <w:bottom w:val="nil"/>
              <w:right w:val="single" w:sz="8" w:space="0" w:color="BFBFBF"/>
            </w:tcBorders>
            <w:shd w:val="clear" w:color="000000" w:fill="DDEBF7"/>
            <w:vAlign w:val="center"/>
            <w:hideMark/>
          </w:tcPr>
          <w:p w14:paraId="26F6BD2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DDEBF7"/>
            <w:vAlign w:val="center"/>
            <w:hideMark/>
          </w:tcPr>
          <w:p w14:paraId="62C3D29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0D72DEF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98.06%</w:t>
            </w:r>
          </w:p>
        </w:tc>
      </w:tr>
      <w:tr w:rsidR="00154D55" w:rsidRPr="00296E53" w14:paraId="304D94C4"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0D819642"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3F6E1A40"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EAIM</w:t>
            </w:r>
          </w:p>
        </w:tc>
        <w:tc>
          <w:tcPr>
            <w:tcW w:w="1720" w:type="dxa"/>
            <w:tcBorders>
              <w:top w:val="nil"/>
              <w:left w:val="single" w:sz="8" w:space="0" w:color="BFBFBF"/>
              <w:bottom w:val="nil"/>
              <w:right w:val="single" w:sz="8" w:space="0" w:color="BFBFBF"/>
            </w:tcBorders>
            <w:shd w:val="clear" w:color="000000" w:fill="BDD7EE"/>
            <w:vAlign w:val="center"/>
            <w:hideMark/>
          </w:tcPr>
          <w:p w14:paraId="7DF1CC88"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2019</w:t>
            </w:r>
          </w:p>
        </w:tc>
        <w:tc>
          <w:tcPr>
            <w:tcW w:w="760" w:type="dxa"/>
            <w:tcBorders>
              <w:top w:val="nil"/>
              <w:left w:val="nil"/>
              <w:bottom w:val="nil"/>
              <w:right w:val="nil"/>
            </w:tcBorders>
            <w:shd w:val="clear" w:color="000000" w:fill="BDD7EE"/>
            <w:vAlign w:val="center"/>
            <w:hideMark/>
          </w:tcPr>
          <w:p w14:paraId="404081F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05C653E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223</w:t>
            </w:r>
          </w:p>
        </w:tc>
        <w:tc>
          <w:tcPr>
            <w:tcW w:w="1200" w:type="dxa"/>
            <w:tcBorders>
              <w:top w:val="nil"/>
              <w:left w:val="nil"/>
              <w:bottom w:val="nil"/>
              <w:right w:val="single" w:sz="8" w:space="0" w:color="BFBFBF"/>
            </w:tcBorders>
            <w:shd w:val="clear" w:color="000000" w:fill="BDD7EE"/>
            <w:vAlign w:val="center"/>
            <w:hideMark/>
          </w:tcPr>
          <w:p w14:paraId="248E35E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7EB6254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2CC1BAA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8.84%</w:t>
            </w:r>
          </w:p>
        </w:tc>
        <w:tc>
          <w:tcPr>
            <w:tcW w:w="760" w:type="dxa"/>
            <w:tcBorders>
              <w:top w:val="nil"/>
              <w:left w:val="nil"/>
              <w:bottom w:val="nil"/>
              <w:right w:val="nil"/>
            </w:tcBorders>
            <w:shd w:val="clear" w:color="000000" w:fill="BDD7EE"/>
            <w:vAlign w:val="center"/>
            <w:hideMark/>
          </w:tcPr>
          <w:p w14:paraId="1F22CE8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BDD7EE"/>
            <w:vAlign w:val="center"/>
            <w:hideMark/>
          </w:tcPr>
          <w:p w14:paraId="1559981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15.91%</w:t>
            </w:r>
          </w:p>
        </w:tc>
        <w:tc>
          <w:tcPr>
            <w:tcW w:w="780" w:type="dxa"/>
            <w:tcBorders>
              <w:top w:val="nil"/>
              <w:left w:val="nil"/>
              <w:bottom w:val="nil"/>
              <w:right w:val="nil"/>
            </w:tcBorders>
            <w:shd w:val="clear" w:color="000000" w:fill="BDD7EE"/>
            <w:vAlign w:val="center"/>
            <w:hideMark/>
          </w:tcPr>
          <w:p w14:paraId="292C60AE"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40" w:type="dxa"/>
            <w:tcBorders>
              <w:top w:val="nil"/>
              <w:left w:val="nil"/>
              <w:bottom w:val="nil"/>
              <w:right w:val="single" w:sz="8" w:space="0" w:color="BFBFBF"/>
            </w:tcBorders>
            <w:shd w:val="clear" w:color="000000" w:fill="BDD7EE"/>
            <w:vAlign w:val="center"/>
            <w:hideMark/>
          </w:tcPr>
          <w:p w14:paraId="2685C12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BDD7EE"/>
            <w:vAlign w:val="center"/>
            <w:hideMark/>
          </w:tcPr>
          <w:p w14:paraId="744F31F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1D3C607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97.08%</w:t>
            </w:r>
          </w:p>
        </w:tc>
      </w:tr>
      <w:tr w:rsidR="00154D55" w:rsidRPr="00296E53" w14:paraId="1A9EE488"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2B50ED62"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5AAF9BB2"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EASPNF</w:t>
            </w:r>
          </w:p>
        </w:tc>
        <w:tc>
          <w:tcPr>
            <w:tcW w:w="1720" w:type="dxa"/>
            <w:tcBorders>
              <w:top w:val="nil"/>
              <w:left w:val="single" w:sz="8" w:space="0" w:color="BFBFBF"/>
              <w:bottom w:val="nil"/>
              <w:right w:val="single" w:sz="8" w:space="0" w:color="BFBFBF"/>
            </w:tcBorders>
            <w:shd w:val="clear" w:color="000000" w:fill="BDD7EE"/>
            <w:vAlign w:val="center"/>
            <w:hideMark/>
          </w:tcPr>
          <w:p w14:paraId="1DF4E65D"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2019</w:t>
            </w:r>
          </w:p>
        </w:tc>
        <w:tc>
          <w:tcPr>
            <w:tcW w:w="760" w:type="dxa"/>
            <w:tcBorders>
              <w:top w:val="nil"/>
              <w:left w:val="nil"/>
              <w:bottom w:val="nil"/>
              <w:right w:val="nil"/>
            </w:tcBorders>
            <w:shd w:val="clear" w:color="000000" w:fill="BDD7EE"/>
            <w:vAlign w:val="center"/>
            <w:hideMark/>
          </w:tcPr>
          <w:p w14:paraId="57364A7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58D27D8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w:t>
            </w:r>
          </w:p>
        </w:tc>
        <w:tc>
          <w:tcPr>
            <w:tcW w:w="1200" w:type="dxa"/>
            <w:tcBorders>
              <w:top w:val="nil"/>
              <w:left w:val="nil"/>
              <w:bottom w:val="nil"/>
              <w:right w:val="single" w:sz="8" w:space="0" w:color="BFBFBF"/>
            </w:tcBorders>
            <w:shd w:val="clear" w:color="000000" w:fill="BDD7EE"/>
            <w:vAlign w:val="center"/>
            <w:hideMark/>
          </w:tcPr>
          <w:p w14:paraId="1E27ACB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731ACE0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665F276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60" w:type="dxa"/>
            <w:tcBorders>
              <w:top w:val="nil"/>
              <w:left w:val="nil"/>
              <w:bottom w:val="nil"/>
              <w:right w:val="nil"/>
            </w:tcBorders>
            <w:shd w:val="clear" w:color="000000" w:fill="BDD7EE"/>
            <w:vAlign w:val="center"/>
            <w:hideMark/>
          </w:tcPr>
          <w:p w14:paraId="6B7694A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BDD7EE"/>
            <w:vAlign w:val="center"/>
            <w:hideMark/>
          </w:tcPr>
          <w:p w14:paraId="3F325B8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80" w:type="dxa"/>
            <w:tcBorders>
              <w:top w:val="nil"/>
              <w:left w:val="nil"/>
              <w:bottom w:val="nil"/>
              <w:right w:val="nil"/>
            </w:tcBorders>
            <w:shd w:val="clear" w:color="000000" w:fill="BDD7EE"/>
            <w:vAlign w:val="center"/>
            <w:hideMark/>
          </w:tcPr>
          <w:p w14:paraId="09EF451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40" w:type="dxa"/>
            <w:tcBorders>
              <w:top w:val="nil"/>
              <w:left w:val="nil"/>
              <w:bottom w:val="nil"/>
              <w:right w:val="single" w:sz="8" w:space="0" w:color="BFBFBF"/>
            </w:tcBorders>
            <w:shd w:val="clear" w:color="000000" w:fill="BDD7EE"/>
            <w:vAlign w:val="center"/>
            <w:hideMark/>
          </w:tcPr>
          <w:p w14:paraId="3B3AF39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680" w:type="dxa"/>
            <w:tcBorders>
              <w:top w:val="nil"/>
              <w:left w:val="nil"/>
              <w:bottom w:val="nil"/>
              <w:right w:val="nil"/>
            </w:tcBorders>
            <w:shd w:val="clear" w:color="000000" w:fill="BDD7EE"/>
            <w:vAlign w:val="center"/>
            <w:hideMark/>
          </w:tcPr>
          <w:p w14:paraId="5F9F354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79CBCDB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r>
      <w:tr w:rsidR="00154D55" w:rsidRPr="00296E53" w14:paraId="426993A3"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5CB1F82A"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328A5D64"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EAT</w:t>
            </w:r>
          </w:p>
        </w:tc>
        <w:tc>
          <w:tcPr>
            <w:tcW w:w="1720" w:type="dxa"/>
            <w:tcBorders>
              <w:top w:val="nil"/>
              <w:left w:val="single" w:sz="8" w:space="0" w:color="BFBFBF"/>
              <w:bottom w:val="nil"/>
              <w:right w:val="single" w:sz="8" w:space="0" w:color="BFBFBF"/>
            </w:tcBorders>
            <w:shd w:val="clear" w:color="000000" w:fill="BDD7EE"/>
            <w:vAlign w:val="center"/>
            <w:hideMark/>
          </w:tcPr>
          <w:p w14:paraId="012DA205"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2019</w:t>
            </w:r>
          </w:p>
        </w:tc>
        <w:tc>
          <w:tcPr>
            <w:tcW w:w="760" w:type="dxa"/>
            <w:tcBorders>
              <w:top w:val="nil"/>
              <w:left w:val="nil"/>
              <w:bottom w:val="nil"/>
              <w:right w:val="nil"/>
            </w:tcBorders>
            <w:shd w:val="clear" w:color="000000" w:fill="BDD7EE"/>
            <w:vAlign w:val="center"/>
            <w:hideMark/>
          </w:tcPr>
          <w:p w14:paraId="4EAD416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67B1FC7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w:t>
            </w:r>
          </w:p>
        </w:tc>
        <w:tc>
          <w:tcPr>
            <w:tcW w:w="1200" w:type="dxa"/>
            <w:tcBorders>
              <w:top w:val="nil"/>
              <w:left w:val="nil"/>
              <w:bottom w:val="nil"/>
              <w:right w:val="single" w:sz="8" w:space="0" w:color="BFBFBF"/>
            </w:tcBorders>
            <w:shd w:val="clear" w:color="000000" w:fill="BDD7EE"/>
            <w:vAlign w:val="center"/>
            <w:hideMark/>
          </w:tcPr>
          <w:p w14:paraId="322FE29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7215520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36F91B8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60" w:type="dxa"/>
            <w:tcBorders>
              <w:top w:val="nil"/>
              <w:left w:val="nil"/>
              <w:bottom w:val="nil"/>
              <w:right w:val="nil"/>
            </w:tcBorders>
            <w:shd w:val="clear" w:color="000000" w:fill="BDD7EE"/>
            <w:vAlign w:val="center"/>
            <w:hideMark/>
          </w:tcPr>
          <w:p w14:paraId="0DA1F86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BDD7EE"/>
            <w:vAlign w:val="center"/>
            <w:hideMark/>
          </w:tcPr>
          <w:p w14:paraId="19C3C35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80" w:type="dxa"/>
            <w:tcBorders>
              <w:top w:val="nil"/>
              <w:left w:val="nil"/>
              <w:bottom w:val="nil"/>
              <w:right w:val="nil"/>
            </w:tcBorders>
            <w:shd w:val="clear" w:color="000000" w:fill="BDD7EE"/>
            <w:vAlign w:val="center"/>
            <w:hideMark/>
          </w:tcPr>
          <w:p w14:paraId="0629A95D"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40" w:type="dxa"/>
            <w:tcBorders>
              <w:top w:val="nil"/>
              <w:left w:val="nil"/>
              <w:bottom w:val="nil"/>
              <w:right w:val="single" w:sz="8" w:space="0" w:color="BFBFBF"/>
            </w:tcBorders>
            <w:shd w:val="clear" w:color="000000" w:fill="BDD7EE"/>
            <w:vAlign w:val="center"/>
            <w:hideMark/>
          </w:tcPr>
          <w:p w14:paraId="0753169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680" w:type="dxa"/>
            <w:tcBorders>
              <w:top w:val="nil"/>
              <w:left w:val="nil"/>
              <w:bottom w:val="nil"/>
              <w:right w:val="nil"/>
            </w:tcBorders>
            <w:shd w:val="clear" w:color="000000" w:fill="BDD7EE"/>
            <w:vAlign w:val="center"/>
            <w:hideMark/>
          </w:tcPr>
          <w:p w14:paraId="1995CB5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22A5819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r>
      <w:tr w:rsidR="00154D55" w:rsidRPr="00296E53" w14:paraId="3F1A73EF" w14:textId="77777777" w:rsidTr="00154D55">
        <w:trPr>
          <w:trHeight w:val="660"/>
          <w:jc w:val="center"/>
        </w:trPr>
        <w:tc>
          <w:tcPr>
            <w:tcW w:w="1180" w:type="dxa"/>
            <w:vMerge w:val="restart"/>
            <w:tcBorders>
              <w:top w:val="nil"/>
              <w:left w:val="single" w:sz="8" w:space="0" w:color="BFBFBF"/>
              <w:bottom w:val="nil"/>
              <w:right w:val="single" w:sz="8" w:space="0" w:color="BFBFBF"/>
            </w:tcBorders>
            <w:shd w:val="clear" w:color="000000" w:fill="DDEBF7"/>
            <w:vAlign w:val="center"/>
            <w:hideMark/>
          </w:tcPr>
          <w:p w14:paraId="6751B1E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Trimestral</w:t>
            </w:r>
          </w:p>
        </w:tc>
        <w:tc>
          <w:tcPr>
            <w:tcW w:w="1060" w:type="dxa"/>
            <w:tcBorders>
              <w:top w:val="nil"/>
              <w:left w:val="nil"/>
              <w:bottom w:val="nil"/>
              <w:right w:val="nil"/>
            </w:tcBorders>
            <w:shd w:val="clear" w:color="000000" w:fill="DDEBF7"/>
            <w:vAlign w:val="center"/>
            <w:hideMark/>
          </w:tcPr>
          <w:p w14:paraId="4421BA2A"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ENCO</w:t>
            </w:r>
          </w:p>
        </w:tc>
        <w:tc>
          <w:tcPr>
            <w:tcW w:w="1720" w:type="dxa"/>
            <w:tcBorders>
              <w:top w:val="nil"/>
              <w:left w:val="single" w:sz="8" w:space="0" w:color="BFBFBF"/>
              <w:bottom w:val="nil"/>
              <w:right w:val="single" w:sz="8" w:space="0" w:color="BFBFBF"/>
            </w:tcBorders>
            <w:shd w:val="clear" w:color="000000" w:fill="DDEBF7"/>
            <w:vAlign w:val="center"/>
            <w:hideMark/>
          </w:tcPr>
          <w:p w14:paraId="5CEFA44A"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 / 2019</w:t>
            </w:r>
            <w:r w:rsidRPr="00154D55">
              <w:rPr>
                <w:rFonts w:ascii="Century Gothic" w:eastAsia="Times New Roman" w:hAnsi="Century Gothic" w:cs="Calibri"/>
                <w:sz w:val="17"/>
                <w:szCs w:val="17"/>
                <w:lang w:val="en-US"/>
              </w:rPr>
              <w:br/>
              <w:t>1, 2, 3, 8, …,11 / 2020</w:t>
            </w:r>
          </w:p>
        </w:tc>
        <w:tc>
          <w:tcPr>
            <w:tcW w:w="760" w:type="dxa"/>
            <w:tcBorders>
              <w:top w:val="nil"/>
              <w:left w:val="nil"/>
              <w:bottom w:val="nil"/>
              <w:right w:val="nil"/>
            </w:tcBorders>
            <w:shd w:val="clear" w:color="000000" w:fill="DDEBF7"/>
            <w:vAlign w:val="center"/>
            <w:hideMark/>
          </w:tcPr>
          <w:p w14:paraId="707E8C3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w:t>
            </w:r>
          </w:p>
        </w:tc>
        <w:tc>
          <w:tcPr>
            <w:tcW w:w="780" w:type="dxa"/>
            <w:tcBorders>
              <w:top w:val="nil"/>
              <w:left w:val="nil"/>
              <w:bottom w:val="nil"/>
              <w:right w:val="single" w:sz="8" w:space="0" w:color="BFBFBF"/>
            </w:tcBorders>
            <w:shd w:val="clear" w:color="000000" w:fill="DDEBF7"/>
            <w:vAlign w:val="center"/>
            <w:hideMark/>
          </w:tcPr>
          <w:p w14:paraId="41D5F1F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8</w:t>
            </w:r>
          </w:p>
        </w:tc>
        <w:tc>
          <w:tcPr>
            <w:tcW w:w="1200" w:type="dxa"/>
            <w:tcBorders>
              <w:top w:val="nil"/>
              <w:left w:val="nil"/>
              <w:bottom w:val="nil"/>
              <w:right w:val="single" w:sz="8" w:space="0" w:color="BFBFBF"/>
            </w:tcBorders>
            <w:shd w:val="clear" w:color="000000" w:fill="DDEBF7"/>
            <w:vAlign w:val="center"/>
            <w:hideMark/>
          </w:tcPr>
          <w:p w14:paraId="47AFB45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DDEBF7"/>
            <w:vAlign w:val="center"/>
            <w:hideMark/>
          </w:tcPr>
          <w:p w14:paraId="3AA66F3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880" w:type="dxa"/>
            <w:tcBorders>
              <w:top w:val="nil"/>
              <w:left w:val="nil"/>
              <w:bottom w:val="nil"/>
              <w:right w:val="single" w:sz="8" w:space="0" w:color="BFBFBF"/>
            </w:tcBorders>
            <w:shd w:val="clear" w:color="000000" w:fill="DDEBF7"/>
            <w:vAlign w:val="center"/>
            <w:hideMark/>
          </w:tcPr>
          <w:p w14:paraId="1E060D6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20.60%</w:t>
            </w:r>
          </w:p>
        </w:tc>
        <w:tc>
          <w:tcPr>
            <w:tcW w:w="760" w:type="dxa"/>
            <w:tcBorders>
              <w:top w:val="nil"/>
              <w:left w:val="nil"/>
              <w:bottom w:val="nil"/>
              <w:right w:val="nil"/>
            </w:tcBorders>
            <w:shd w:val="clear" w:color="000000" w:fill="DDEBF7"/>
            <w:vAlign w:val="center"/>
            <w:hideMark/>
          </w:tcPr>
          <w:p w14:paraId="693D735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757E0C7E"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80" w:type="dxa"/>
            <w:tcBorders>
              <w:top w:val="nil"/>
              <w:left w:val="nil"/>
              <w:bottom w:val="nil"/>
              <w:right w:val="nil"/>
            </w:tcBorders>
            <w:shd w:val="clear" w:color="000000" w:fill="DDEBF7"/>
            <w:vAlign w:val="center"/>
            <w:hideMark/>
          </w:tcPr>
          <w:p w14:paraId="7FB239B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7.67%</w:t>
            </w:r>
          </w:p>
        </w:tc>
        <w:tc>
          <w:tcPr>
            <w:tcW w:w="840" w:type="dxa"/>
            <w:tcBorders>
              <w:top w:val="nil"/>
              <w:left w:val="nil"/>
              <w:bottom w:val="nil"/>
              <w:right w:val="single" w:sz="8" w:space="0" w:color="BFBFBF"/>
            </w:tcBorders>
            <w:shd w:val="clear" w:color="000000" w:fill="DDEBF7"/>
            <w:vAlign w:val="center"/>
            <w:hideMark/>
          </w:tcPr>
          <w:p w14:paraId="735C990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7.61</w:t>
            </w:r>
          </w:p>
        </w:tc>
        <w:tc>
          <w:tcPr>
            <w:tcW w:w="680" w:type="dxa"/>
            <w:tcBorders>
              <w:top w:val="nil"/>
              <w:left w:val="nil"/>
              <w:bottom w:val="nil"/>
              <w:right w:val="nil"/>
            </w:tcBorders>
            <w:shd w:val="clear" w:color="000000" w:fill="DDEBF7"/>
            <w:vAlign w:val="center"/>
            <w:hideMark/>
          </w:tcPr>
          <w:p w14:paraId="4266F43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101%</w:t>
            </w:r>
          </w:p>
        </w:tc>
        <w:tc>
          <w:tcPr>
            <w:tcW w:w="880" w:type="dxa"/>
            <w:tcBorders>
              <w:top w:val="nil"/>
              <w:left w:val="nil"/>
              <w:bottom w:val="nil"/>
              <w:right w:val="single" w:sz="8" w:space="0" w:color="BFBFBF"/>
            </w:tcBorders>
            <w:shd w:val="clear" w:color="000000" w:fill="DDEBF7"/>
            <w:vAlign w:val="center"/>
            <w:hideMark/>
          </w:tcPr>
          <w:p w14:paraId="02B399A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92.47%</w:t>
            </w:r>
          </w:p>
        </w:tc>
      </w:tr>
      <w:tr w:rsidR="00154D55" w:rsidRPr="00296E53" w14:paraId="08064B39" w14:textId="77777777" w:rsidTr="00154D55">
        <w:trPr>
          <w:trHeight w:val="440"/>
          <w:jc w:val="center"/>
        </w:trPr>
        <w:tc>
          <w:tcPr>
            <w:tcW w:w="1180" w:type="dxa"/>
            <w:vMerge/>
            <w:tcBorders>
              <w:top w:val="nil"/>
              <w:left w:val="single" w:sz="8" w:space="0" w:color="BFBFBF"/>
              <w:bottom w:val="nil"/>
              <w:right w:val="single" w:sz="8" w:space="0" w:color="BFBFBF"/>
            </w:tcBorders>
            <w:vAlign w:val="center"/>
            <w:hideMark/>
          </w:tcPr>
          <w:p w14:paraId="74DE709D"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1493313F"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ENSU</w:t>
            </w:r>
          </w:p>
        </w:tc>
        <w:tc>
          <w:tcPr>
            <w:tcW w:w="1720" w:type="dxa"/>
            <w:tcBorders>
              <w:top w:val="nil"/>
              <w:left w:val="single" w:sz="8" w:space="0" w:color="BFBFBF"/>
              <w:bottom w:val="nil"/>
              <w:right w:val="single" w:sz="8" w:space="0" w:color="BFBFBF"/>
            </w:tcBorders>
            <w:shd w:val="clear" w:color="000000" w:fill="DDEBF7"/>
            <w:vAlign w:val="center"/>
            <w:hideMark/>
          </w:tcPr>
          <w:p w14:paraId="6DD4FB40"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4 / 2019</w:t>
            </w:r>
            <w:r w:rsidRPr="00154D55">
              <w:rPr>
                <w:rFonts w:ascii="Century Gothic" w:eastAsia="Times New Roman" w:hAnsi="Century Gothic" w:cs="Calibri"/>
                <w:sz w:val="17"/>
                <w:szCs w:val="17"/>
                <w:lang w:val="en-US"/>
              </w:rPr>
              <w:br/>
            </w:r>
            <w:proofErr w:type="gramStart"/>
            <w:r w:rsidRPr="00154D55">
              <w:rPr>
                <w:rFonts w:ascii="Century Gothic" w:eastAsia="Times New Roman" w:hAnsi="Century Gothic" w:cs="Calibri"/>
                <w:sz w:val="17"/>
                <w:szCs w:val="17"/>
                <w:lang w:val="en-US"/>
              </w:rPr>
              <w:t>1  y</w:t>
            </w:r>
            <w:proofErr w:type="gramEnd"/>
            <w:r w:rsidRPr="00154D55">
              <w:rPr>
                <w:rFonts w:ascii="Century Gothic" w:eastAsia="Times New Roman" w:hAnsi="Century Gothic" w:cs="Calibri"/>
                <w:sz w:val="17"/>
                <w:szCs w:val="17"/>
                <w:lang w:val="en-US"/>
              </w:rPr>
              <w:t xml:space="preserve"> 3 / 2020</w:t>
            </w:r>
          </w:p>
        </w:tc>
        <w:tc>
          <w:tcPr>
            <w:tcW w:w="760" w:type="dxa"/>
            <w:tcBorders>
              <w:top w:val="nil"/>
              <w:left w:val="nil"/>
              <w:bottom w:val="nil"/>
              <w:right w:val="nil"/>
            </w:tcBorders>
            <w:shd w:val="clear" w:color="000000" w:fill="DDEBF7"/>
            <w:vAlign w:val="center"/>
            <w:hideMark/>
          </w:tcPr>
          <w:p w14:paraId="1EB7BD6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499</w:t>
            </w:r>
          </w:p>
        </w:tc>
        <w:tc>
          <w:tcPr>
            <w:tcW w:w="780" w:type="dxa"/>
            <w:tcBorders>
              <w:top w:val="nil"/>
              <w:left w:val="nil"/>
              <w:bottom w:val="nil"/>
              <w:right w:val="single" w:sz="8" w:space="0" w:color="BFBFBF"/>
            </w:tcBorders>
            <w:shd w:val="clear" w:color="000000" w:fill="DDEBF7"/>
            <w:vAlign w:val="center"/>
            <w:hideMark/>
          </w:tcPr>
          <w:p w14:paraId="09E9519D"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255</w:t>
            </w:r>
          </w:p>
        </w:tc>
        <w:tc>
          <w:tcPr>
            <w:tcW w:w="1200" w:type="dxa"/>
            <w:tcBorders>
              <w:top w:val="nil"/>
              <w:left w:val="nil"/>
              <w:bottom w:val="nil"/>
              <w:right w:val="single" w:sz="8" w:space="0" w:color="BFBFBF"/>
            </w:tcBorders>
            <w:shd w:val="clear" w:color="000000" w:fill="DDEBF7"/>
            <w:vAlign w:val="center"/>
            <w:hideMark/>
          </w:tcPr>
          <w:p w14:paraId="56ECB4E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DDEBF7"/>
            <w:vAlign w:val="center"/>
            <w:hideMark/>
          </w:tcPr>
          <w:p w14:paraId="51E5A71D"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w:t>
            </w:r>
          </w:p>
        </w:tc>
        <w:tc>
          <w:tcPr>
            <w:tcW w:w="880" w:type="dxa"/>
            <w:tcBorders>
              <w:top w:val="nil"/>
              <w:left w:val="nil"/>
              <w:bottom w:val="nil"/>
              <w:right w:val="single" w:sz="8" w:space="0" w:color="BFBFBF"/>
            </w:tcBorders>
            <w:shd w:val="clear" w:color="000000" w:fill="DDEBF7"/>
            <w:vAlign w:val="center"/>
            <w:hideMark/>
          </w:tcPr>
          <w:p w14:paraId="7248D42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7.84%</w:t>
            </w:r>
          </w:p>
        </w:tc>
        <w:tc>
          <w:tcPr>
            <w:tcW w:w="760" w:type="dxa"/>
            <w:tcBorders>
              <w:top w:val="nil"/>
              <w:left w:val="nil"/>
              <w:bottom w:val="nil"/>
              <w:right w:val="nil"/>
            </w:tcBorders>
            <w:shd w:val="clear" w:color="000000" w:fill="DDEBF7"/>
            <w:vAlign w:val="center"/>
            <w:hideMark/>
          </w:tcPr>
          <w:p w14:paraId="6EFFED7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6B455CC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80" w:type="dxa"/>
            <w:tcBorders>
              <w:top w:val="nil"/>
              <w:left w:val="nil"/>
              <w:bottom w:val="nil"/>
              <w:right w:val="nil"/>
            </w:tcBorders>
            <w:shd w:val="clear" w:color="000000" w:fill="DDEBF7"/>
            <w:vAlign w:val="center"/>
            <w:hideMark/>
          </w:tcPr>
          <w:p w14:paraId="5F04E57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5.56%</w:t>
            </w:r>
          </w:p>
        </w:tc>
        <w:tc>
          <w:tcPr>
            <w:tcW w:w="840" w:type="dxa"/>
            <w:tcBorders>
              <w:top w:val="nil"/>
              <w:left w:val="nil"/>
              <w:bottom w:val="nil"/>
              <w:right w:val="single" w:sz="8" w:space="0" w:color="BFBFBF"/>
            </w:tcBorders>
            <w:shd w:val="clear" w:color="000000" w:fill="DDEBF7"/>
            <w:vAlign w:val="center"/>
            <w:hideMark/>
          </w:tcPr>
          <w:p w14:paraId="59E4798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5.64</w:t>
            </w:r>
          </w:p>
        </w:tc>
        <w:tc>
          <w:tcPr>
            <w:tcW w:w="680" w:type="dxa"/>
            <w:tcBorders>
              <w:top w:val="nil"/>
              <w:left w:val="nil"/>
              <w:bottom w:val="nil"/>
              <w:right w:val="nil"/>
            </w:tcBorders>
            <w:shd w:val="clear" w:color="000000" w:fill="DDEBF7"/>
            <w:vAlign w:val="center"/>
            <w:hideMark/>
          </w:tcPr>
          <w:p w14:paraId="2D16DB5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104%</w:t>
            </w:r>
          </w:p>
        </w:tc>
        <w:tc>
          <w:tcPr>
            <w:tcW w:w="880" w:type="dxa"/>
            <w:tcBorders>
              <w:top w:val="nil"/>
              <w:left w:val="nil"/>
              <w:bottom w:val="nil"/>
              <w:right w:val="single" w:sz="8" w:space="0" w:color="BFBFBF"/>
            </w:tcBorders>
            <w:shd w:val="clear" w:color="000000" w:fill="DDEBF7"/>
            <w:vAlign w:val="center"/>
            <w:hideMark/>
          </w:tcPr>
          <w:p w14:paraId="60E9E51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104.62%</w:t>
            </w:r>
          </w:p>
        </w:tc>
      </w:tr>
      <w:tr w:rsidR="00154D55" w:rsidRPr="00296E53" w14:paraId="5B7520BC" w14:textId="77777777" w:rsidTr="00154D55">
        <w:trPr>
          <w:trHeight w:val="440"/>
          <w:jc w:val="center"/>
        </w:trPr>
        <w:tc>
          <w:tcPr>
            <w:tcW w:w="1180" w:type="dxa"/>
            <w:vMerge/>
            <w:tcBorders>
              <w:top w:val="nil"/>
              <w:left w:val="single" w:sz="8" w:space="0" w:color="BFBFBF"/>
              <w:bottom w:val="nil"/>
              <w:right w:val="single" w:sz="8" w:space="0" w:color="BFBFBF"/>
            </w:tcBorders>
            <w:vAlign w:val="center"/>
            <w:hideMark/>
          </w:tcPr>
          <w:p w14:paraId="74806F18"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7E32DE0E"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ENOE</w:t>
            </w:r>
          </w:p>
        </w:tc>
        <w:tc>
          <w:tcPr>
            <w:tcW w:w="1720" w:type="dxa"/>
            <w:tcBorders>
              <w:top w:val="nil"/>
              <w:left w:val="single" w:sz="8" w:space="0" w:color="BFBFBF"/>
              <w:bottom w:val="nil"/>
              <w:right w:val="single" w:sz="8" w:space="0" w:color="BFBFBF"/>
            </w:tcBorders>
            <w:shd w:val="clear" w:color="000000" w:fill="DDEBF7"/>
            <w:vAlign w:val="center"/>
            <w:hideMark/>
          </w:tcPr>
          <w:p w14:paraId="007DC67C"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4 / 2019</w:t>
            </w:r>
            <w:r w:rsidRPr="00154D55">
              <w:rPr>
                <w:rFonts w:ascii="Century Gothic" w:eastAsia="Times New Roman" w:hAnsi="Century Gothic" w:cs="Calibri"/>
                <w:sz w:val="17"/>
                <w:szCs w:val="17"/>
                <w:lang w:val="en-US"/>
              </w:rPr>
              <w:br/>
              <w:t>1 / 2020</w:t>
            </w:r>
          </w:p>
        </w:tc>
        <w:tc>
          <w:tcPr>
            <w:tcW w:w="760" w:type="dxa"/>
            <w:tcBorders>
              <w:top w:val="nil"/>
              <w:left w:val="nil"/>
              <w:bottom w:val="nil"/>
              <w:right w:val="nil"/>
            </w:tcBorders>
            <w:shd w:val="clear" w:color="000000" w:fill="DDEBF7"/>
            <w:vAlign w:val="center"/>
            <w:hideMark/>
          </w:tcPr>
          <w:p w14:paraId="74343F3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546</w:t>
            </w:r>
          </w:p>
        </w:tc>
        <w:tc>
          <w:tcPr>
            <w:tcW w:w="780" w:type="dxa"/>
            <w:tcBorders>
              <w:top w:val="nil"/>
              <w:left w:val="nil"/>
              <w:bottom w:val="nil"/>
              <w:right w:val="single" w:sz="8" w:space="0" w:color="BFBFBF"/>
            </w:tcBorders>
            <w:shd w:val="clear" w:color="000000" w:fill="DDEBF7"/>
            <w:vAlign w:val="center"/>
            <w:hideMark/>
          </w:tcPr>
          <w:p w14:paraId="1369F55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139</w:t>
            </w:r>
          </w:p>
        </w:tc>
        <w:tc>
          <w:tcPr>
            <w:tcW w:w="1200" w:type="dxa"/>
            <w:tcBorders>
              <w:top w:val="nil"/>
              <w:left w:val="nil"/>
              <w:bottom w:val="nil"/>
              <w:right w:val="single" w:sz="8" w:space="0" w:color="BFBFBF"/>
            </w:tcBorders>
            <w:shd w:val="clear" w:color="000000" w:fill="DDEBF7"/>
            <w:vAlign w:val="center"/>
            <w:hideMark/>
          </w:tcPr>
          <w:p w14:paraId="62F650F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DDEBF7"/>
            <w:vAlign w:val="center"/>
            <w:hideMark/>
          </w:tcPr>
          <w:p w14:paraId="1E8BFFD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w:t>
            </w:r>
          </w:p>
        </w:tc>
        <w:tc>
          <w:tcPr>
            <w:tcW w:w="880" w:type="dxa"/>
            <w:tcBorders>
              <w:top w:val="nil"/>
              <w:left w:val="nil"/>
              <w:bottom w:val="nil"/>
              <w:right w:val="single" w:sz="8" w:space="0" w:color="BFBFBF"/>
            </w:tcBorders>
            <w:shd w:val="clear" w:color="000000" w:fill="DDEBF7"/>
            <w:vAlign w:val="center"/>
            <w:hideMark/>
          </w:tcPr>
          <w:p w14:paraId="7BE2060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12.97%</w:t>
            </w:r>
          </w:p>
        </w:tc>
        <w:tc>
          <w:tcPr>
            <w:tcW w:w="760" w:type="dxa"/>
            <w:tcBorders>
              <w:top w:val="nil"/>
              <w:left w:val="nil"/>
              <w:bottom w:val="nil"/>
              <w:right w:val="nil"/>
            </w:tcBorders>
            <w:shd w:val="clear" w:color="000000" w:fill="DDEBF7"/>
            <w:vAlign w:val="center"/>
            <w:hideMark/>
          </w:tcPr>
          <w:p w14:paraId="290F676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4EFFDC1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80" w:type="dxa"/>
            <w:tcBorders>
              <w:top w:val="nil"/>
              <w:left w:val="nil"/>
              <w:bottom w:val="nil"/>
              <w:right w:val="nil"/>
            </w:tcBorders>
            <w:shd w:val="clear" w:color="000000" w:fill="DDEBF7"/>
            <w:vAlign w:val="center"/>
            <w:hideMark/>
          </w:tcPr>
          <w:p w14:paraId="48AA9B1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7.21%</w:t>
            </w:r>
          </w:p>
        </w:tc>
        <w:tc>
          <w:tcPr>
            <w:tcW w:w="840" w:type="dxa"/>
            <w:tcBorders>
              <w:top w:val="nil"/>
              <w:left w:val="nil"/>
              <w:bottom w:val="nil"/>
              <w:right w:val="single" w:sz="8" w:space="0" w:color="BFBFBF"/>
            </w:tcBorders>
            <w:shd w:val="clear" w:color="000000" w:fill="DDEBF7"/>
            <w:vAlign w:val="center"/>
            <w:hideMark/>
          </w:tcPr>
          <w:p w14:paraId="540BD70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7.2</w:t>
            </w:r>
          </w:p>
        </w:tc>
        <w:tc>
          <w:tcPr>
            <w:tcW w:w="680" w:type="dxa"/>
            <w:tcBorders>
              <w:top w:val="nil"/>
              <w:left w:val="nil"/>
              <w:bottom w:val="nil"/>
              <w:right w:val="nil"/>
            </w:tcBorders>
            <w:shd w:val="clear" w:color="000000" w:fill="DDEBF7"/>
            <w:vAlign w:val="center"/>
            <w:hideMark/>
          </w:tcPr>
          <w:p w14:paraId="6545316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103%</w:t>
            </w:r>
          </w:p>
        </w:tc>
        <w:tc>
          <w:tcPr>
            <w:tcW w:w="880" w:type="dxa"/>
            <w:tcBorders>
              <w:top w:val="nil"/>
              <w:left w:val="nil"/>
              <w:bottom w:val="nil"/>
              <w:right w:val="single" w:sz="8" w:space="0" w:color="BFBFBF"/>
            </w:tcBorders>
            <w:shd w:val="clear" w:color="000000" w:fill="DDEBF7"/>
            <w:vAlign w:val="center"/>
            <w:hideMark/>
          </w:tcPr>
          <w:p w14:paraId="2A856B6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103.12%</w:t>
            </w:r>
          </w:p>
        </w:tc>
      </w:tr>
      <w:tr w:rsidR="00154D55" w:rsidRPr="00296E53" w14:paraId="68D2C8B2" w14:textId="77777777" w:rsidTr="00154D55">
        <w:trPr>
          <w:trHeight w:val="440"/>
          <w:jc w:val="center"/>
        </w:trPr>
        <w:tc>
          <w:tcPr>
            <w:tcW w:w="1180" w:type="dxa"/>
            <w:vMerge w:val="restart"/>
            <w:tcBorders>
              <w:top w:val="nil"/>
              <w:left w:val="single" w:sz="8" w:space="0" w:color="BFBFBF"/>
              <w:bottom w:val="single" w:sz="8" w:space="0" w:color="BFBFBF"/>
              <w:right w:val="single" w:sz="8" w:space="0" w:color="BFBFBF"/>
            </w:tcBorders>
            <w:shd w:val="clear" w:color="000000" w:fill="BDD7EE"/>
            <w:vAlign w:val="center"/>
            <w:hideMark/>
          </w:tcPr>
          <w:p w14:paraId="3775A47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proofErr w:type="spellStart"/>
            <w:r w:rsidRPr="00154D55">
              <w:rPr>
                <w:rFonts w:ascii="Century Gothic" w:eastAsia="Times New Roman" w:hAnsi="Century Gothic" w:cs="Calibri"/>
                <w:color w:val="000000"/>
                <w:sz w:val="17"/>
                <w:szCs w:val="17"/>
                <w:lang w:val="en-US"/>
              </w:rPr>
              <w:t>Mensual</w:t>
            </w:r>
            <w:proofErr w:type="spellEnd"/>
          </w:p>
        </w:tc>
        <w:tc>
          <w:tcPr>
            <w:tcW w:w="1060" w:type="dxa"/>
            <w:tcBorders>
              <w:top w:val="nil"/>
              <w:left w:val="nil"/>
              <w:bottom w:val="nil"/>
              <w:right w:val="nil"/>
            </w:tcBorders>
            <w:shd w:val="clear" w:color="000000" w:fill="BDD7EE"/>
            <w:vAlign w:val="center"/>
            <w:hideMark/>
          </w:tcPr>
          <w:p w14:paraId="3734213C"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EMIM</w:t>
            </w:r>
          </w:p>
        </w:tc>
        <w:tc>
          <w:tcPr>
            <w:tcW w:w="1720" w:type="dxa"/>
            <w:tcBorders>
              <w:top w:val="nil"/>
              <w:left w:val="single" w:sz="8" w:space="0" w:color="BFBFBF"/>
              <w:bottom w:val="nil"/>
              <w:right w:val="single" w:sz="8" w:space="0" w:color="BFBFBF"/>
            </w:tcBorders>
            <w:shd w:val="clear" w:color="000000" w:fill="BDD7EE"/>
            <w:vAlign w:val="center"/>
            <w:hideMark/>
          </w:tcPr>
          <w:p w14:paraId="65EBBBC2"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11 y 12 / 2019</w:t>
            </w:r>
            <w:r w:rsidRPr="00154D55">
              <w:rPr>
                <w:rFonts w:ascii="Century Gothic" w:eastAsia="Times New Roman" w:hAnsi="Century Gothic" w:cs="Calibri"/>
                <w:sz w:val="17"/>
                <w:szCs w:val="17"/>
                <w:lang w:val="en-US"/>
              </w:rPr>
              <w:br/>
              <w:t>1, 2, …, 10 /2020</w:t>
            </w:r>
          </w:p>
        </w:tc>
        <w:tc>
          <w:tcPr>
            <w:tcW w:w="760" w:type="dxa"/>
            <w:tcBorders>
              <w:top w:val="nil"/>
              <w:left w:val="nil"/>
              <w:bottom w:val="nil"/>
              <w:right w:val="nil"/>
            </w:tcBorders>
            <w:shd w:val="clear" w:color="000000" w:fill="BDD7EE"/>
            <w:vAlign w:val="center"/>
            <w:hideMark/>
          </w:tcPr>
          <w:p w14:paraId="1F8EEDD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3584</w:t>
            </w:r>
          </w:p>
        </w:tc>
        <w:tc>
          <w:tcPr>
            <w:tcW w:w="780" w:type="dxa"/>
            <w:tcBorders>
              <w:top w:val="nil"/>
              <w:left w:val="nil"/>
              <w:bottom w:val="nil"/>
              <w:right w:val="single" w:sz="8" w:space="0" w:color="BFBFBF"/>
            </w:tcBorders>
            <w:shd w:val="clear" w:color="000000" w:fill="BDD7EE"/>
            <w:vAlign w:val="center"/>
            <w:hideMark/>
          </w:tcPr>
          <w:p w14:paraId="4946842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2676</w:t>
            </w:r>
          </w:p>
        </w:tc>
        <w:tc>
          <w:tcPr>
            <w:tcW w:w="1200" w:type="dxa"/>
            <w:tcBorders>
              <w:top w:val="nil"/>
              <w:left w:val="nil"/>
              <w:bottom w:val="nil"/>
              <w:right w:val="single" w:sz="8" w:space="0" w:color="BFBFBF"/>
            </w:tcBorders>
            <w:shd w:val="clear" w:color="000000" w:fill="BDD7EE"/>
            <w:vAlign w:val="center"/>
            <w:hideMark/>
          </w:tcPr>
          <w:p w14:paraId="3148B77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4DB32E4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w:t>
            </w:r>
          </w:p>
        </w:tc>
        <w:tc>
          <w:tcPr>
            <w:tcW w:w="880" w:type="dxa"/>
            <w:tcBorders>
              <w:top w:val="nil"/>
              <w:left w:val="nil"/>
              <w:bottom w:val="nil"/>
              <w:right w:val="single" w:sz="8" w:space="0" w:color="BFBFBF"/>
            </w:tcBorders>
            <w:shd w:val="clear" w:color="000000" w:fill="BDD7EE"/>
            <w:vAlign w:val="center"/>
            <w:hideMark/>
          </w:tcPr>
          <w:p w14:paraId="6E02BEF7" w14:textId="7AF79425"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6.</w:t>
            </w:r>
            <w:r w:rsidR="00017207">
              <w:rPr>
                <w:rFonts w:ascii="Century Gothic" w:eastAsia="Times New Roman" w:hAnsi="Century Gothic" w:cs="Calibri"/>
                <w:sz w:val="17"/>
                <w:szCs w:val="17"/>
                <w:lang w:val="en-US"/>
              </w:rPr>
              <w:t>1</w:t>
            </w:r>
            <w:r w:rsidRPr="00154D55">
              <w:rPr>
                <w:rFonts w:ascii="Century Gothic" w:eastAsia="Times New Roman" w:hAnsi="Century Gothic" w:cs="Calibri"/>
                <w:sz w:val="17"/>
                <w:szCs w:val="17"/>
                <w:lang w:val="en-US"/>
              </w:rPr>
              <w:t>0%</w:t>
            </w:r>
          </w:p>
        </w:tc>
        <w:tc>
          <w:tcPr>
            <w:tcW w:w="760" w:type="dxa"/>
            <w:tcBorders>
              <w:top w:val="nil"/>
              <w:left w:val="nil"/>
              <w:bottom w:val="nil"/>
              <w:right w:val="nil"/>
            </w:tcBorders>
            <w:shd w:val="clear" w:color="000000" w:fill="BDD7EE"/>
            <w:vAlign w:val="center"/>
            <w:hideMark/>
          </w:tcPr>
          <w:p w14:paraId="7A6508E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5.15%</w:t>
            </w:r>
          </w:p>
        </w:tc>
        <w:tc>
          <w:tcPr>
            <w:tcW w:w="720" w:type="dxa"/>
            <w:tcBorders>
              <w:top w:val="nil"/>
              <w:left w:val="nil"/>
              <w:bottom w:val="nil"/>
              <w:right w:val="single" w:sz="8" w:space="0" w:color="BFBFBF"/>
            </w:tcBorders>
            <w:shd w:val="clear" w:color="000000" w:fill="BDD7EE"/>
            <w:vAlign w:val="center"/>
            <w:hideMark/>
          </w:tcPr>
          <w:p w14:paraId="1112A962" w14:textId="051ADCAA"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w:t>
            </w:r>
            <w:r w:rsidR="00017207">
              <w:rPr>
                <w:rFonts w:ascii="Century Gothic" w:eastAsia="Times New Roman" w:hAnsi="Century Gothic" w:cs="Calibri"/>
                <w:sz w:val="17"/>
                <w:szCs w:val="17"/>
                <w:lang w:val="en-US"/>
              </w:rPr>
              <w:t>4</w:t>
            </w:r>
            <w:r w:rsidRPr="00154D55">
              <w:rPr>
                <w:rFonts w:ascii="Century Gothic" w:eastAsia="Times New Roman" w:hAnsi="Century Gothic" w:cs="Calibri"/>
                <w:sz w:val="17"/>
                <w:szCs w:val="17"/>
                <w:lang w:val="en-US"/>
              </w:rPr>
              <w:t>.</w:t>
            </w:r>
            <w:r w:rsidR="00017207">
              <w:rPr>
                <w:rFonts w:ascii="Century Gothic" w:eastAsia="Times New Roman" w:hAnsi="Century Gothic" w:cs="Calibri"/>
                <w:sz w:val="17"/>
                <w:szCs w:val="17"/>
                <w:lang w:val="en-US"/>
              </w:rPr>
              <w:t>86</w:t>
            </w:r>
            <w:r w:rsidRPr="00154D55">
              <w:rPr>
                <w:rFonts w:ascii="Century Gothic" w:eastAsia="Times New Roman" w:hAnsi="Century Gothic" w:cs="Calibri"/>
                <w:sz w:val="17"/>
                <w:szCs w:val="17"/>
                <w:lang w:val="en-US"/>
              </w:rPr>
              <w:t>%</w:t>
            </w:r>
          </w:p>
        </w:tc>
        <w:tc>
          <w:tcPr>
            <w:tcW w:w="780" w:type="dxa"/>
            <w:tcBorders>
              <w:top w:val="nil"/>
              <w:left w:val="nil"/>
              <w:bottom w:val="nil"/>
              <w:right w:val="nil"/>
            </w:tcBorders>
            <w:shd w:val="clear" w:color="000000" w:fill="BDD7EE"/>
            <w:vAlign w:val="center"/>
            <w:hideMark/>
          </w:tcPr>
          <w:p w14:paraId="13F8E20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BDD7EE"/>
            <w:vAlign w:val="center"/>
            <w:hideMark/>
          </w:tcPr>
          <w:p w14:paraId="4E030C3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BDD7EE"/>
            <w:vAlign w:val="center"/>
            <w:hideMark/>
          </w:tcPr>
          <w:p w14:paraId="65F786B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106%</w:t>
            </w:r>
          </w:p>
        </w:tc>
        <w:tc>
          <w:tcPr>
            <w:tcW w:w="880" w:type="dxa"/>
            <w:tcBorders>
              <w:top w:val="nil"/>
              <w:left w:val="nil"/>
              <w:bottom w:val="nil"/>
              <w:right w:val="single" w:sz="8" w:space="0" w:color="BFBFBF"/>
            </w:tcBorders>
            <w:shd w:val="clear" w:color="000000" w:fill="BDD7EE"/>
            <w:vAlign w:val="center"/>
            <w:hideMark/>
          </w:tcPr>
          <w:p w14:paraId="63F92A25" w14:textId="60868094"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w:t>
            </w:r>
            <w:r w:rsidR="00017207">
              <w:rPr>
                <w:rFonts w:ascii="Century Gothic" w:eastAsia="Times New Roman" w:hAnsi="Century Gothic" w:cs="Calibri"/>
                <w:sz w:val="17"/>
                <w:szCs w:val="17"/>
                <w:lang w:val="en-US"/>
              </w:rPr>
              <w:t>8</w:t>
            </w:r>
            <w:r w:rsidRPr="00154D55">
              <w:rPr>
                <w:rFonts w:ascii="Century Gothic" w:eastAsia="Times New Roman" w:hAnsi="Century Gothic" w:cs="Calibri"/>
                <w:sz w:val="17"/>
                <w:szCs w:val="17"/>
                <w:lang w:val="en-US"/>
              </w:rPr>
              <w:t>.</w:t>
            </w:r>
            <w:r w:rsidR="00017207">
              <w:rPr>
                <w:rFonts w:ascii="Century Gothic" w:eastAsia="Times New Roman" w:hAnsi="Century Gothic" w:cs="Calibri"/>
                <w:sz w:val="17"/>
                <w:szCs w:val="17"/>
                <w:lang w:val="en-US"/>
              </w:rPr>
              <w:t>9</w:t>
            </w:r>
            <w:r w:rsidRPr="00154D55">
              <w:rPr>
                <w:rFonts w:ascii="Century Gothic" w:eastAsia="Times New Roman" w:hAnsi="Century Gothic" w:cs="Calibri"/>
                <w:sz w:val="17"/>
                <w:szCs w:val="17"/>
                <w:lang w:val="en-US"/>
              </w:rPr>
              <w:t>%</w:t>
            </w:r>
          </w:p>
        </w:tc>
      </w:tr>
      <w:tr w:rsidR="00154D55" w:rsidRPr="00296E53" w14:paraId="41A8C5AB" w14:textId="77777777" w:rsidTr="00154D55">
        <w:trPr>
          <w:trHeight w:val="440"/>
          <w:jc w:val="center"/>
        </w:trPr>
        <w:tc>
          <w:tcPr>
            <w:tcW w:w="1180" w:type="dxa"/>
            <w:vMerge/>
            <w:tcBorders>
              <w:top w:val="nil"/>
              <w:left w:val="single" w:sz="8" w:space="0" w:color="BFBFBF"/>
              <w:bottom w:val="single" w:sz="8" w:space="0" w:color="BFBFBF"/>
              <w:right w:val="single" w:sz="8" w:space="0" w:color="BFBFBF"/>
            </w:tcBorders>
            <w:vAlign w:val="center"/>
            <w:hideMark/>
          </w:tcPr>
          <w:p w14:paraId="796A4D25"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7E1E87A3"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EMEC</w:t>
            </w:r>
          </w:p>
        </w:tc>
        <w:tc>
          <w:tcPr>
            <w:tcW w:w="1720" w:type="dxa"/>
            <w:tcBorders>
              <w:top w:val="nil"/>
              <w:left w:val="single" w:sz="8" w:space="0" w:color="BFBFBF"/>
              <w:bottom w:val="nil"/>
              <w:right w:val="single" w:sz="8" w:space="0" w:color="BFBFBF"/>
            </w:tcBorders>
            <w:shd w:val="clear" w:color="000000" w:fill="BDD7EE"/>
            <w:vAlign w:val="center"/>
            <w:hideMark/>
          </w:tcPr>
          <w:p w14:paraId="74467A83"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11 y 12 / 2019</w:t>
            </w:r>
            <w:r w:rsidRPr="00154D55">
              <w:rPr>
                <w:rFonts w:ascii="Century Gothic" w:eastAsia="Times New Roman" w:hAnsi="Century Gothic" w:cs="Calibri"/>
                <w:sz w:val="17"/>
                <w:szCs w:val="17"/>
                <w:lang w:val="en-US"/>
              </w:rPr>
              <w:br/>
              <w:t>1, 2, …, 10 /2020</w:t>
            </w:r>
          </w:p>
        </w:tc>
        <w:tc>
          <w:tcPr>
            <w:tcW w:w="760" w:type="dxa"/>
            <w:tcBorders>
              <w:top w:val="nil"/>
              <w:left w:val="nil"/>
              <w:bottom w:val="nil"/>
              <w:right w:val="nil"/>
            </w:tcBorders>
            <w:shd w:val="clear" w:color="000000" w:fill="BDD7EE"/>
            <w:vAlign w:val="center"/>
            <w:hideMark/>
          </w:tcPr>
          <w:p w14:paraId="4ED6EEF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656</w:t>
            </w:r>
          </w:p>
        </w:tc>
        <w:tc>
          <w:tcPr>
            <w:tcW w:w="780" w:type="dxa"/>
            <w:tcBorders>
              <w:top w:val="nil"/>
              <w:left w:val="nil"/>
              <w:bottom w:val="nil"/>
              <w:right w:val="single" w:sz="8" w:space="0" w:color="BFBFBF"/>
            </w:tcBorders>
            <w:shd w:val="clear" w:color="000000" w:fill="BDD7EE"/>
            <w:vAlign w:val="center"/>
            <w:hideMark/>
          </w:tcPr>
          <w:p w14:paraId="269B8CC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520</w:t>
            </w:r>
          </w:p>
        </w:tc>
        <w:tc>
          <w:tcPr>
            <w:tcW w:w="1200" w:type="dxa"/>
            <w:tcBorders>
              <w:top w:val="nil"/>
              <w:left w:val="nil"/>
              <w:bottom w:val="nil"/>
              <w:right w:val="single" w:sz="8" w:space="0" w:color="BFBFBF"/>
            </w:tcBorders>
            <w:shd w:val="clear" w:color="000000" w:fill="BDD7EE"/>
            <w:vAlign w:val="center"/>
            <w:hideMark/>
          </w:tcPr>
          <w:p w14:paraId="38743D2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5E59F37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w:t>
            </w:r>
          </w:p>
        </w:tc>
        <w:tc>
          <w:tcPr>
            <w:tcW w:w="880" w:type="dxa"/>
            <w:tcBorders>
              <w:top w:val="nil"/>
              <w:left w:val="nil"/>
              <w:bottom w:val="nil"/>
              <w:right w:val="single" w:sz="8" w:space="0" w:color="BFBFBF"/>
            </w:tcBorders>
            <w:shd w:val="clear" w:color="000000" w:fill="BDD7EE"/>
            <w:vAlign w:val="center"/>
            <w:hideMark/>
          </w:tcPr>
          <w:p w14:paraId="3BDE7D04" w14:textId="41C282CE"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6.</w:t>
            </w:r>
            <w:r w:rsidR="00017207">
              <w:rPr>
                <w:rFonts w:ascii="Century Gothic" w:eastAsia="Times New Roman" w:hAnsi="Century Gothic" w:cs="Calibri"/>
                <w:sz w:val="17"/>
                <w:szCs w:val="17"/>
                <w:lang w:val="en-US"/>
              </w:rPr>
              <w:t>6</w:t>
            </w:r>
            <w:r w:rsidRPr="00154D55">
              <w:rPr>
                <w:rFonts w:ascii="Century Gothic" w:eastAsia="Times New Roman" w:hAnsi="Century Gothic" w:cs="Calibri"/>
                <w:sz w:val="17"/>
                <w:szCs w:val="17"/>
                <w:lang w:val="en-US"/>
              </w:rPr>
              <w:t>6%</w:t>
            </w:r>
          </w:p>
        </w:tc>
        <w:tc>
          <w:tcPr>
            <w:tcW w:w="760" w:type="dxa"/>
            <w:tcBorders>
              <w:top w:val="nil"/>
              <w:left w:val="nil"/>
              <w:bottom w:val="nil"/>
              <w:right w:val="nil"/>
            </w:tcBorders>
            <w:shd w:val="clear" w:color="000000" w:fill="BDD7EE"/>
            <w:vAlign w:val="center"/>
            <w:hideMark/>
          </w:tcPr>
          <w:p w14:paraId="616ED94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5.51%</w:t>
            </w:r>
          </w:p>
        </w:tc>
        <w:tc>
          <w:tcPr>
            <w:tcW w:w="720" w:type="dxa"/>
            <w:tcBorders>
              <w:top w:val="nil"/>
              <w:left w:val="nil"/>
              <w:bottom w:val="nil"/>
              <w:right w:val="single" w:sz="8" w:space="0" w:color="BFBFBF"/>
            </w:tcBorders>
            <w:shd w:val="clear" w:color="000000" w:fill="BDD7EE"/>
            <w:vAlign w:val="center"/>
            <w:hideMark/>
          </w:tcPr>
          <w:p w14:paraId="74930017" w14:textId="1A54259B"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w:t>
            </w:r>
            <w:r w:rsidR="00017207">
              <w:rPr>
                <w:rFonts w:ascii="Century Gothic" w:eastAsia="Times New Roman" w:hAnsi="Century Gothic" w:cs="Calibri"/>
                <w:sz w:val="17"/>
                <w:szCs w:val="17"/>
                <w:lang w:val="en-US"/>
              </w:rPr>
              <w:t>2</w:t>
            </w:r>
            <w:r w:rsidRPr="00154D55">
              <w:rPr>
                <w:rFonts w:ascii="Century Gothic" w:eastAsia="Times New Roman" w:hAnsi="Century Gothic" w:cs="Calibri"/>
                <w:sz w:val="17"/>
                <w:szCs w:val="17"/>
                <w:lang w:val="en-US"/>
              </w:rPr>
              <w:t>.</w:t>
            </w:r>
            <w:r w:rsidR="00017207">
              <w:rPr>
                <w:rFonts w:ascii="Century Gothic" w:eastAsia="Times New Roman" w:hAnsi="Century Gothic" w:cs="Calibri"/>
                <w:sz w:val="17"/>
                <w:szCs w:val="17"/>
                <w:lang w:val="en-US"/>
              </w:rPr>
              <w:t>3</w:t>
            </w:r>
            <w:r w:rsidRPr="00154D55">
              <w:rPr>
                <w:rFonts w:ascii="Century Gothic" w:eastAsia="Times New Roman" w:hAnsi="Century Gothic" w:cs="Calibri"/>
                <w:sz w:val="17"/>
                <w:szCs w:val="17"/>
                <w:lang w:val="en-US"/>
              </w:rPr>
              <w:t>%</w:t>
            </w:r>
          </w:p>
        </w:tc>
        <w:tc>
          <w:tcPr>
            <w:tcW w:w="780" w:type="dxa"/>
            <w:tcBorders>
              <w:top w:val="nil"/>
              <w:left w:val="nil"/>
              <w:bottom w:val="nil"/>
              <w:right w:val="nil"/>
            </w:tcBorders>
            <w:shd w:val="clear" w:color="000000" w:fill="BDD7EE"/>
            <w:vAlign w:val="center"/>
            <w:hideMark/>
          </w:tcPr>
          <w:p w14:paraId="4677572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BDD7EE"/>
            <w:vAlign w:val="center"/>
            <w:hideMark/>
          </w:tcPr>
          <w:p w14:paraId="6B56990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BDD7EE"/>
            <w:vAlign w:val="center"/>
            <w:hideMark/>
          </w:tcPr>
          <w:p w14:paraId="74398E0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106%</w:t>
            </w:r>
          </w:p>
        </w:tc>
        <w:tc>
          <w:tcPr>
            <w:tcW w:w="880" w:type="dxa"/>
            <w:tcBorders>
              <w:top w:val="nil"/>
              <w:left w:val="nil"/>
              <w:bottom w:val="nil"/>
              <w:right w:val="single" w:sz="8" w:space="0" w:color="BFBFBF"/>
            </w:tcBorders>
            <w:shd w:val="clear" w:color="000000" w:fill="BDD7EE"/>
            <w:vAlign w:val="center"/>
            <w:hideMark/>
          </w:tcPr>
          <w:p w14:paraId="5F0AF012" w14:textId="2D214E7B"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w:t>
            </w:r>
            <w:r w:rsidR="00017207">
              <w:rPr>
                <w:rFonts w:ascii="Century Gothic" w:eastAsia="Times New Roman" w:hAnsi="Century Gothic" w:cs="Calibri"/>
                <w:sz w:val="17"/>
                <w:szCs w:val="17"/>
                <w:lang w:val="en-US"/>
              </w:rPr>
              <w:t>8</w:t>
            </w:r>
            <w:r w:rsidRPr="00154D55">
              <w:rPr>
                <w:rFonts w:ascii="Century Gothic" w:eastAsia="Times New Roman" w:hAnsi="Century Gothic" w:cs="Calibri"/>
                <w:sz w:val="17"/>
                <w:szCs w:val="17"/>
                <w:lang w:val="en-US"/>
              </w:rPr>
              <w:t>.</w:t>
            </w:r>
            <w:r w:rsidR="00017207">
              <w:rPr>
                <w:rFonts w:ascii="Century Gothic" w:eastAsia="Times New Roman" w:hAnsi="Century Gothic" w:cs="Calibri"/>
                <w:sz w:val="17"/>
                <w:szCs w:val="17"/>
                <w:lang w:val="en-US"/>
              </w:rPr>
              <w:t>4</w:t>
            </w:r>
            <w:r w:rsidRPr="00154D55">
              <w:rPr>
                <w:rFonts w:ascii="Century Gothic" w:eastAsia="Times New Roman" w:hAnsi="Century Gothic" w:cs="Calibri"/>
                <w:sz w:val="17"/>
                <w:szCs w:val="17"/>
                <w:lang w:val="en-US"/>
              </w:rPr>
              <w:t>%</w:t>
            </w:r>
          </w:p>
        </w:tc>
      </w:tr>
      <w:tr w:rsidR="00154D55" w:rsidRPr="00296E53" w14:paraId="242C1963" w14:textId="77777777" w:rsidTr="00154D55">
        <w:trPr>
          <w:trHeight w:val="440"/>
          <w:jc w:val="center"/>
        </w:trPr>
        <w:tc>
          <w:tcPr>
            <w:tcW w:w="1180" w:type="dxa"/>
            <w:vMerge/>
            <w:tcBorders>
              <w:top w:val="nil"/>
              <w:left w:val="single" w:sz="8" w:space="0" w:color="BFBFBF"/>
              <w:bottom w:val="single" w:sz="8" w:space="0" w:color="BFBFBF"/>
              <w:right w:val="single" w:sz="8" w:space="0" w:color="BFBFBF"/>
            </w:tcBorders>
            <w:vAlign w:val="center"/>
            <w:hideMark/>
          </w:tcPr>
          <w:p w14:paraId="02B416E1"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51DE5C7A"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EMS</w:t>
            </w:r>
          </w:p>
        </w:tc>
        <w:tc>
          <w:tcPr>
            <w:tcW w:w="1720" w:type="dxa"/>
            <w:tcBorders>
              <w:top w:val="nil"/>
              <w:left w:val="single" w:sz="8" w:space="0" w:color="BFBFBF"/>
              <w:bottom w:val="nil"/>
              <w:right w:val="single" w:sz="8" w:space="0" w:color="BFBFBF"/>
            </w:tcBorders>
            <w:shd w:val="clear" w:color="000000" w:fill="BDD7EE"/>
            <w:vAlign w:val="center"/>
            <w:hideMark/>
          </w:tcPr>
          <w:p w14:paraId="5A8E8AA4"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11 y 12 / 2019</w:t>
            </w:r>
            <w:r w:rsidRPr="00154D55">
              <w:rPr>
                <w:rFonts w:ascii="Century Gothic" w:eastAsia="Times New Roman" w:hAnsi="Century Gothic" w:cs="Calibri"/>
                <w:sz w:val="17"/>
                <w:szCs w:val="17"/>
                <w:lang w:val="en-US"/>
              </w:rPr>
              <w:br/>
              <w:t>1, 2, …, 10 /2020</w:t>
            </w:r>
          </w:p>
        </w:tc>
        <w:tc>
          <w:tcPr>
            <w:tcW w:w="760" w:type="dxa"/>
            <w:tcBorders>
              <w:top w:val="nil"/>
              <w:left w:val="nil"/>
              <w:bottom w:val="nil"/>
              <w:right w:val="nil"/>
            </w:tcBorders>
            <w:shd w:val="clear" w:color="000000" w:fill="BDD7EE"/>
            <w:vAlign w:val="center"/>
            <w:hideMark/>
          </w:tcPr>
          <w:p w14:paraId="296989A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1648</w:t>
            </w:r>
          </w:p>
        </w:tc>
        <w:tc>
          <w:tcPr>
            <w:tcW w:w="780" w:type="dxa"/>
            <w:tcBorders>
              <w:top w:val="nil"/>
              <w:left w:val="nil"/>
              <w:bottom w:val="nil"/>
              <w:right w:val="single" w:sz="8" w:space="0" w:color="BFBFBF"/>
            </w:tcBorders>
            <w:shd w:val="clear" w:color="000000" w:fill="BDD7EE"/>
            <w:vAlign w:val="center"/>
            <w:hideMark/>
          </w:tcPr>
          <w:p w14:paraId="50D2778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1224</w:t>
            </w:r>
          </w:p>
        </w:tc>
        <w:tc>
          <w:tcPr>
            <w:tcW w:w="1200" w:type="dxa"/>
            <w:tcBorders>
              <w:top w:val="nil"/>
              <w:left w:val="nil"/>
              <w:bottom w:val="nil"/>
              <w:right w:val="single" w:sz="8" w:space="0" w:color="BFBFBF"/>
            </w:tcBorders>
            <w:shd w:val="clear" w:color="000000" w:fill="BDD7EE"/>
            <w:vAlign w:val="center"/>
            <w:hideMark/>
          </w:tcPr>
          <w:p w14:paraId="353F4D4E"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5885811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8%</w:t>
            </w:r>
          </w:p>
        </w:tc>
        <w:tc>
          <w:tcPr>
            <w:tcW w:w="880" w:type="dxa"/>
            <w:tcBorders>
              <w:top w:val="nil"/>
              <w:left w:val="nil"/>
              <w:bottom w:val="nil"/>
              <w:right w:val="single" w:sz="8" w:space="0" w:color="BFBFBF"/>
            </w:tcBorders>
            <w:shd w:val="clear" w:color="000000" w:fill="BDD7EE"/>
            <w:vAlign w:val="center"/>
            <w:hideMark/>
          </w:tcPr>
          <w:p w14:paraId="14B5AAA5" w14:textId="4DA8DD5E"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10.2</w:t>
            </w:r>
            <w:r w:rsidR="00017207">
              <w:rPr>
                <w:rFonts w:ascii="Century Gothic" w:eastAsia="Times New Roman" w:hAnsi="Century Gothic" w:cs="Calibri"/>
                <w:sz w:val="17"/>
                <w:szCs w:val="17"/>
                <w:lang w:val="en-US"/>
              </w:rPr>
              <w:t>4</w:t>
            </w:r>
            <w:r w:rsidRPr="00154D55">
              <w:rPr>
                <w:rFonts w:ascii="Century Gothic" w:eastAsia="Times New Roman" w:hAnsi="Century Gothic" w:cs="Calibri"/>
                <w:sz w:val="17"/>
                <w:szCs w:val="17"/>
                <w:lang w:val="en-US"/>
              </w:rPr>
              <w:t>%</w:t>
            </w:r>
          </w:p>
        </w:tc>
        <w:tc>
          <w:tcPr>
            <w:tcW w:w="760" w:type="dxa"/>
            <w:tcBorders>
              <w:top w:val="nil"/>
              <w:left w:val="nil"/>
              <w:bottom w:val="nil"/>
              <w:right w:val="nil"/>
            </w:tcBorders>
            <w:shd w:val="clear" w:color="000000" w:fill="BDD7EE"/>
            <w:vAlign w:val="center"/>
            <w:hideMark/>
          </w:tcPr>
          <w:p w14:paraId="18602F4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9.34%</w:t>
            </w:r>
          </w:p>
        </w:tc>
        <w:tc>
          <w:tcPr>
            <w:tcW w:w="720" w:type="dxa"/>
            <w:tcBorders>
              <w:top w:val="nil"/>
              <w:left w:val="nil"/>
              <w:bottom w:val="nil"/>
              <w:right w:val="single" w:sz="8" w:space="0" w:color="BFBFBF"/>
            </w:tcBorders>
            <w:shd w:val="clear" w:color="000000" w:fill="BDD7EE"/>
            <w:vAlign w:val="center"/>
            <w:hideMark/>
          </w:tcPr>
          <w:p w14:paraId="3D022DCD"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31.13%</w:t>
            </w:r>
          </w:p>
        </w:tc>
        <w:tc>
          <w:tcPr>
            <w:tcW w:w="780" w:type="dxa"/>
            <w:tcBorders>
              <w:top w:val="nil"/>
              <w:left w:val="nil"/>
              <w:bottom w:val="nil"/>
              <w:right w:val="nil"/>
            </w:tcBorders>
            <w:shd w:val="clear" w:color="000000" w:fill="BDD7EE"/>
            <w:vAlign w:val="center"/>
            <w:hideMark/>
          </w:tcPr>
          <w:p w14:paraId="17A3F31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BDD7EE"/>
            <w:vAlign w:val="center"/>
            <w:hideMark/>
          </w:tcPr>
          <w:p w14:paraId="07B2204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BDD7EE"/>
            <w:vAlign w:val="center"/>
            <w:hideMark/>
          </w:tcPr>
          <w:p w14:paraId="578D635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99%</w:t>
            </w:r>
          </w:p>
        </w:tc>
        <w:tc>
          <w:tcPr>
            <w:tcW w:w="880" w:type="dxa"/>
            <w:tcBorders>
              <w:top w:val="nil"/>
              <w:left w:val="nil"/>
              <w:bottom w:val="nil"/>
              <w:right w:val="single" w:sz="8" w:space="0" w:color="BFBFBF"/>
            </w:tcBorders>
            <w:shd w:val="clear" w:color="000000" w:fill="BDD7EE"/>
            <w:vAlign w:val="center"/>
            <w:hideMark/>
          </w:tcPr>
          <w:p w14:paraId="6627E940" w14:textId="797F273D"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96.</w:t>
            </w:r>
            <w:r w:rsidR="00017207">
              <w:rPr>
                <w:rFonts w:ascii="Century Gothic" w:eastAsia="Times New Roman" w:hAnsi="Century Gothic" w:cs="Calibri"/>
                <w:sz w:val="17"/>
                <w:szCs w:val="17"/>
                <w:lang w:val="en-US"/>
              </w:rPr>
              <w:t>8</w:t>
            </w:r>
            <w:r w:rsidRPr="00154D55">
              <w:rPr>
                <w:rFonts w:ascii="Century Gothic" w:eastAsia="Times New Roman" w:hAnsi="Century Gothic" w:cs="Calibri"/>
                <w:sz w:val="17"/>
                <w:szCs w:val="17"/>
                <w:lang w:val="en-US"/>
              </w:rPr>
              <w:t>7%</w:t>
            </w:r>
          </w:p>
        </w:tc>
      </w:tr>
      <w:tr w:rsidR="00154D55" w:rsidRPr="00296E53" w14:paraId="11A37F25" w14:textId="77777777" w:rsidTr="00154D55">
        <w:trPr>
          <w:trHeight w:val="440"/>
          <w:jc w:val="center"/>
        </w:trPr>
        <w:tc>
          <w:tcPr>
            <w:tcW w:w="1180" w:type="dxa"/>
            <w:vMerge/>
            <w:tcBorders>
              <w:top w:val="nil"/>
              <w:left w:val="single" w:sz="8" w:space="0" w:color="BFBFBF"/>
              <w:bottom w:val="single" w:sz="8" w:space="0" w:color="BFBFBF"/>
              <w:right w:val="single" w:sz="8" w:space="0" w:color="BFBFBF"/>
            </w:tcBorders>
            <w:vAlign w:val="center"/>
            <w:hideMark/>
          </w:tcPr>
          <w:p w14:paraId="4AD6BC56"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2B041320"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ENEC</w:t>
            </w:r>
          </w:p>
        </w:tc>
        <w:tc>
          <w:tcPr>
            <w:tcW w:w="1720" w:type="dxa"/>
            <w:tcBorders>
              <w:top w:val="nil"/>
              <w:left w:val="single" w:sz="8" w:space="0" w:color="BFBFBF"/>
              <w:bottom w:val="nil"/>
              <w:right w:val="single" w:sz="8" w:space="0" w:color="BFBFBF"/>
            </w:tcBorders>
            <w:shd w:val="clear" w:color="000000" w:fill="DDEBF7"/>
            <w:vAlign w:val="center"/>
            <w:hideMark/>
          </w:tcPr>
          <w:p w14:paraId="565E6AF8"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11 y 12 / 2019</w:t>
            </w:r>
            <w:r w:rsidRPr="00154D55">
              <w:rPr>
                <w:rFonts w:ascii="Century Gothic" w:eastAsia="Times New Roman" w:hAnsi="Century Gothic" w:cs="Calibri"/>
                <w:sz w:val="17"/>
                <w:szCs w:val="17"/>
                <w:lang w:val="en-US"/>
              </w:rPr>
              <w:br/>
              <w:t>1, 2, …, 10 /2020</w:t>
            </w:r>
          </w:p>
        </w:tc>
        <w:tc>
          <w:tcPr>
            <w:tcW w:w="760" w:type="dxa"/>
            <w:tcBorders>
              <w:top w:val="nil"/>
              <w:left w:val="nil"/>
              <w:bottom w:val="nil"/>
              <w:right w:val="nil"/>
            </w:tcBorders>
            <w:shd w:val="clear" w:color="000000" w:fill="DDEBF7"/>
            <w:vAlign w:val="center"/>
            <w:hideMark/>
          </w:tcPr>
          <w:p w14:paraId="7F3A9CB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576</w:t>
            </w:r>
          </w:p>
        </w:tc>
        <w:tc>
          <w:tcPr>
            <w:tcW w:w="780" w:type="dxa"/>
            <w:tcBorders>
              <w:top w:val="nil"/>
              <w:left w:val="nil"/>
              <w:bottom w:val="nil"/>
              <w:right w:val="single" w:sz="8" w:space="0" w:color="BFBFBF"/>
            </w:tcBorders>
            <w:shd w:val="clear" w:color="000000" w:fill="DDEBF7"/>
            <w:vAlign w:val="center"/>
            <w:hideMark/>
          </w:tcPr>
          <w:p w14:paraId="069ACC2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420</w:t>
            </w:r>
          </w:p>
        </w:tc>
        <w:tc>
          <w:tcPr>
            <w:tcW w:w="1200" w:type="dxa"/>
            <w:tcBorders>
              <w:top w:val="nil"/>
              <w:left w:val="nil"/>
              <w:bottom w:val="nil"/>
              <w:right w:val="single" w:sz="8" w:space="0" w:color="BFBFBF"/>
            </w:tcBorders>
            <w:shd w:val="clear" w:color="000000" w:fill="DDEBF7"/>
            <w:vAlign w:val="center"/>
            <w:hideMark/>
          </w:tcPr>
          <w:p w14:paraId="7B97E76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w:t>
            </w:r>
          </w:p>
        </w:tc>
        <w:tc>
          <w:tcPr>
            <w:tcW w:w="980" w:type="dxa"/>
            <w:tcBorders>
              <w:top w:val="nil"/>
              <w:left w:val="nil"/>
              <w:bottom w:val="nil"/>
              <w:right w:val="nil"/>
            </w:tcBorders>
            <w:shd w:val="clear" w:color="000000" w:fill="DDEBF7"/>
            <w:vAlign w:val="center"/>
            <w:hideMark/>
          </w:tcPr>
          <w:p w14:paraId="0D968EA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w:t>
            </w:r>
          </w:p>
        </w:tc>
        <w:tc>
          <w:tcPr>
            <w:tcW w:w="880" w:type="dxa"/>
            <w:tcBorders>
              <w:top w:val="nil"/>
              <w:left w:val="nil"/>
              <w:bottom w:val="nil"/>
              <w:right w:val="single" w:sz="8" w:space="0" w:color="BFBFBF"/>
            </w:tcBorders>
            <w:shd w:val="clear" w:color="000000" w:fill="DDEBF7"/>
            <w:vAlign w:val="center"/>
            <w:hideMark/>
          </w:tcPr>
          <w:p w14:paraId="63EB63EC" w14:textId="1E113524"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13.4%</w:t>
            </w:r>
          </w:p>
        </w:tc>
        <w:tc>
          <w:tcPr>
            <w:tcW w:w="760" w:type="dxa"/>
            <w:tcBorders>
              <w:top w:val="nil"/>
              <w:left w:val="nil"/>
              <w:bottom w:val="nil"/>
              <w:right w:val="nil"/>
            </w:tcBorders>
            <w:shd w:val="clear" w:color="000000" w:fill="DDEBF7"/>
            <w:vAlign w:val="center"/>
            <w:hideMark/>
          </w:tcPr>
          <w:p w14:paraId="58654AF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40F9FE0F" w14:textId="3D9DD660"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w:t>
            </w:r>
            <w:r w:rsidR="00017207">
              <w:rPr>
                <w:rFonts w:ascii="Century Gothic" w:eastAsia="Times New Roman" w:hAnsi="Century Gothic" w:cs="Calibri"/>
                <w:sz w:val="17"/>
                <w:szCs w:val="17"/>
                <w:lang w:val="en-US"/>
              </w:rPr>
              <w:t>8</w:t>
            </w:r>
            <w:r w:rsidRPr="00154D55">
              <w:rPr>
                <w:rFonts w:ascii="Century Gothic" w:eastAsia="Times New Roman" w:hAnsi="Century Gothic" w:cs="Calibri"/>
                <w:sz w:val="17"/>
                <w:szCs w:val="17"/>
                <w:lang w:val="en-US"/>
              </w:rPr>
              <w:t>%</w:t>
            </w:r>
          </w:p>
        </w:tc>
        <w:tc>
          <w:tcPr>
            <w:tcW w:w="780" w:type="dxa"/>
            <w:tcBorders>
              <w:top w:val="nil"/>
              <w:left w:val="nil"/>
              <w:bottom w:val="nil"/>
              <w:right w:val="nil"/>
            </w:tcBorders>
            <w:shd w:val="clear" w:color="000000" w:fill="DDEBF7"/>
            <w:vAlign w:val="center"/>
            <w:hideMark/>
          </w:tcPr>
          <w:p w14:paraId="519469D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DDEBF7"/>
            <w:vAlign w:val="center"/>
            <w:hideMark/>
          </w:tcPr>
          <w:p w14:paraId="45ADB95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DDEBF7"/>
            <w:vAlign w:val="center"/>
            <w:hideMark/>
          </w:tcPr>
          <w:p w14:paraId="34AB528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2B8B14A3" w14:textId="26D314BB"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w:t>
            </w:r>
            <w:r w:rsidR="00017207">
              <w:rPr>
                <w:rFonts w:ascii="Century Gothic" w:eastAsia="Times New Roman" w:hAnsi="Century Gothic" w:cs="Calibri"/>
                <w:sz w:val="17"/>
                <w:szCs w:val="17"/>
                <w:lang w:val="en-US"/>
              </w:rPr>
              <w:t>9</w:t>
            </w:r>
            <w:r w:rsidRPr="00154D55">
              <w:rPr>
                <w:rFonts w:ascii="Century Gothic" w:eastAsia="Times New Roman" w:hAnsi="Century Gothic" w:cs="Calibri"/>
                <w:sz w:val="17"/>
                <w:szCs w:val="17"/>
                <w:lang w:val="en-US"/>
              </w:rPr>
              <w:t>.</w:t>
            </w:r>
            <w:r w:rsidR="00017207">
              <w:rPr>
                <w:rFonts w:ascii="Century Gothic" w:eastAsia="Times New Roman" w:hAnsi="Century Gothic" w:cs="Calibri"/>
                <w:sz w:val="17"/>
                <w:szCs w:val="17"/>
                <w:lang w:val="en-US"/>
              </w:rPr>
              <w:t>2</w:t>
            </w:r>
            <w:r w:rsidRPr="00154D55">
              <w:rPr>
                <w:rFonts w:ascii="Century Gothic" w:eastAsia="Times New Roman" w:hAnsi="Century Gothic" w:cs="Calibri"/>
                <w:sz w:val="17"/>
                <w:szCs w:val="17"/>
                <w:lang w:val="en-US"/>
              </w:rPr>
              <w:t>%</w:t>
            </w:r>
          </w:p>
        </w:tc>
      </w:tr>
      <w:tr w:rsidR="00154D55" w:rsidRPr="00296E53" w14:paraId="351A906F" w14:textId="77777777" w:rsidTr="00154D55">
        <w:trPr>
          <w:trHeight w:val="440"/>
          <w:jc w:val="center"/>
        </w:trPr>
        <w:tc>
          <w:tcPr>
            <w:tcW w:w="1180" w:type="dxa"/>
            <w:vMerge/>
            <w:tcBorders>
              <w:top w:val="nil"/>
              <w:left w:val="single" w:sz="8" w:space="0" w:color="BFBFBF"/>
              <w:bottom w:val="single" w:sz="8" w:space="0" w:color="BFBFBF"/>
              <w:right w:val="single" w:sz="8" w:space="0" w:color="BFBFBF"/>
            </w:tcBorders>
            <w:vAlign w:val="center"/>
            <w:hideMark/>
          </w:tcPr>
          <w:p w14:paraId="48515E52"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749C4C3F"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EMOE MAN</w:t>
            </w:r>
          </w:p>
        </w:tc>
        <w:tc>
          <w:tcPr>
            <w:tcW w:w="1720" w:type="dxa"/>
            <w:tcBorders>
              <w:top w:val="nil"/>
              <w:left w:val="single" w:sz="8" w:space="0" w:color="BFBFBF"/>
              <w:bottom w:val="nil"/>
              <w:right w:val="single" w:sz="8" w:space="0" w:color="BFBFBF"/>
            </w:tcBorders>
            <w:shd w:val="clear" w:color="000000" w:fill="DDEBF7"/>
            <w:vAlign w:val="center"/>
            <w:hideMark/>
          </w:tcPr>
          <w:p w14:paraId="2B2612A3"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 / 2019</w:t>
            </w:r>
            <w:r w:rsidRPr="00154D55">
              <w:rPr>
                <w:rFonts w:ascii="Century Gothic" w:eastAsia="Times New Roman" w:hAnsi="Century Gothic" w:cs="Calibri"/>
                <w:sz w:val="17"/>
                <w:szCs w:val="17"/>
                <w:lang w:val="en-US"/>
              </w:rPr>
              <w:br/>
              <w:t>1, 2, …,11 / 2020</w:t>
            </w:r>
          </w:p>
        </w:tc>
        <w:tc>
          <w:tcPr>
            <w:tcW w:w="760" w:type="dxa"/>
            <w:tcBorders>
              <w:top w:val="nil"/>
              <w:left w:val="nil"/>
              <w:bottom w:val="nil"/>
              <w:right w:val="nil"/>
            </w:tcBorders>
            <w:shd w:val="clear" w:color="000000" w:fill="DDEBF7"/>
            <w:vAlign w:val="center"/>
            <w:hideMark/>
          </w:tcPr>
          <w:p w14:paraId="6EA5B38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128</w:t>
            </w:r>
          </w:p>
        </w:tc>
        <w:tc>
          <w:tcPr>
            <w:tcW w:w="780" w:type="dxa"/>
            <w:tcBorders>
              <w:top w:val="nil"/>
              <w:left w:val="nil"/>
              <w:bottom w:val="nil"/>
              <w:right w:val="single" w:sz="8" w:space="0" w:color="BFBFBF"/>
            </w:tcBorders>
            <w:shd w:val="clear" w:color="000000" w:fill="DDEBF7"/>
            <w:vAlign w:val="center"/>
            <w:hideMark/>
          </w:tcPr>
          <w:p w14:paraId="65E54AB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84</w:t>
            </w:r>
          </w:p>
        </w:tc>
        <w:tc>
          <w:tcPr>
            <w:tcW w:w="1200" w:type="dxa"/>
            <w:tcBorders>
              <w:top w:val="nil"/>
              <w:left w:val="nil"/>
              <w:bottom w:val="nil"/>
              <w:right w:val="single" w:sz="8" w:space="0" w:color="BFBFBF"/>
            </w:tcBorders>
            <w:shd w:val="clear" w:color="000000" w:fill="DDEBF7"/>
            <w:vAlign w:val="center"/>
            <w:hideMark/>
          </w:tcPr>
          <w:p w14:paraId="28700DF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DDEBF7"/>
            <w:vAlign w:val="center"/>
            <w:hideMark/>
          </w:tcPr>
          <w:p w14:paraId="6DD3D0F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w:t>
            </w:r>
          </w:p>
        </w:tc>
        <w:tc>
          <w:tcPr>
            <w:tcW w:w="880" w:type="dxa"/>
            <w:tcBorders>
              <w:top w:val="nil"/>
              <w:left w:val="nil"/>
              <w:bottom w:val="nil"/>
              <w:right w:val="single" w:sz="8" w:space="0" w:color="BFBFBF"/>
            </w:tcBorders>
            <w:shd w:val="clear" w:color="000000" w:fill="DDEBF7"/>
            <w:vAlign w:val="center"/>
            <w:hideMark/>
          </w:tcPr>
          <w:p w14:paraId="720525BE" w14:textId="241C335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w:t>
            </w:r>
          </w:p>
        </w:tc>
        <w:tc>
          <w:tcPr>
            <w:tcW w:w="760" w:type="dxa"/>
            <w:tcBorders>
              <w:top w:val="nil"/>
              <w:left w:val="nil"/>
              <w:bottom w:val="nil"/>
              <w:right w:val="nil"/>
            </w:tcBorders>
            <w:shd w:val="clear" w:color="000000" w:fill="DDEBF7"/>
            <w:vAlign w:val="center"/>
            <w:hideMark/>
          </w:tcPr>
          <w:p w14:paraId="4A85CDE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0A38F5B5" w14:textId="5B271B46"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8%</w:t>
            </w:r>
          </w:p>
        </w:tc>
        <w:tc>
          <w:tcPr>
            <w:tcW w:w="780" w:type="dxa"/>
            <w:tcBorders>
              <w:top w:val="nil"/>
              <w:left w:val="nil"/>
              <w:bottom w:val="nil"/>
              <w:right w:val="nil"/>
            </w:tcBorders>
            <w:shd w:val="clear" w:color="000000" w:fill="DDEBF7"/>
            <w:vAlign w:val="center"/>
            <w:hideMark/>
          </w:tcPr>
          <w:p w14:paraId="4636CB9D"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DDEBF7"/>
            <w:vAlign w:val="center"/>
            <w:hideMark/>
          </w:tcPr>
          <w:p w14:paraId="3F2E1BF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DDEBF7"/>
            <w:vAlign w:val="center"/>
            <w:hideMark/>
          </w:tcPr>
          <w:p w14:paraId="66F42CC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4066716F" w14:textId="1780FC7E"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w:t>
            </w:r>
            <w:r w:rsidR="00017207">
              <w:rPr>
                <w:rFonts w:ascii="Century Gothic" w:eastAsia="Times New Roman" w:hAnsi="Century Gothic" w:cs="Calibri"/>
                <w:sz w:val="17"/>
                <w:szCs w:val="17"/>
                <w:lang w:val="en-US"/>
              </w:rPr>
              <w:t>8</w:t>
            </w:r>
            <w:r w:rsidRPr="00154D55">
              <w:rPr>
                <w:rFonts w:ascii="Century Gothic" w:eastAsia="Times New Roman" w:hAnsi="Century Gothic" w:cs="Calibri"/>
                <w:sz w:val="17"/>
                <w:szCs w:val="17"/>
                <w:lang w:val="en-US"/>
              </w:rPr>
              <w:t>%</w:t>
            </w:r>
          </w:p>
        </w:tc>
      </w:tr>
      <w:tr w:rsidR="00154D55" w:rsidRPr="00296E53" w14:paraId="324D326C" w14:textId="77777777" w:rsidTr="00154D55">
        <w:trPr>
          <w:trHeight w:val="440"/>
          <w:jc w:val="center"/>
        </w:trPr>
        <w:tc>
          <w:tcPr>
            <w:tcW w:w="1180" w:type="dxa"/>
            <w:vMerge/>
            <w:tcBorders>
              <w:top w:val="nil"/>
              <w:left w:val="single" w:sz="8" w:space="0" w:color="BFBFBF"/>
              <w:bottom w:val="single" w:sz="8" w:space="0" w:color="BFBFBF"/>
              <w:right w:val="single" w:sz="8" w:space="0" w:color="BFBFBF"/>
            </w:tcBorders>
            <w:vAlign w:val="center"/>
            <w:hideMark/>
          </w:tcPr>
          <w:p w14:paraId="5723B562"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0FF2603F"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EMOE CONS</w:t>
            </w:r>
          </w:p>
        </w:tc>
        <w:tc>
          <w:tcPr>
            <w:tcW w:w="1720" w:type="dxa"/>
            <w:tcBorders>
              <w:top w:val="nil"/>
              <w:left w:val="single" w:sz="8" w:space="0" w:color="BFBFBF"/>
              <w:bottom w:val="nil"/>
              <w:right w:val="single" w:sz="8" w:space="0" w:color="BFBFBF"/>
            </w:tcBorders>
            <w:shd w:val="clear" w:color="000000" w:fill="DDEBF7"/>
            <w:vAlign w:val="center"/>
            <w:hideMark/>
          </w:tcPr>
          <w:p w14:paraId="60631D16"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 / 2019</w:t>
            </w:r>
            <w:r w:rsidRPr="00154D55">
              <w:rPr>
                <w:rFonts w:ascii="Century Gothic" w:eastAsia="Times New Roman" w:hAnsi="Century Gothic" w:cs="Calibri"/>
                <w:sz w:val="17"/>
                <w:szCs w:val="17"/>
                <w:lang w:val="en-US"/>
              </w:rPr>
              <w:br/>
              <w:t>1, 2, …,11 / 2020</w:t>
            </w:r>
          </w:p>
        </w:tc>
        <w:tc>
          <w:tcPr>
            <w:tcW w:w="760" w:type="dxa"/>
            <w:tcBorders>
              <w:top w:val="nil"/>
              <w:left w:val="nil"/>
              <w:bottom w:val="nil"/>
              <w:right w:val="nil"/>
            </w:tcBorders>
            <w:shd w:val="clear" w:color="000000" w:fill="DDEBF7"/>
            <w:vAlign w:val="center"/>
            <w:hideMark/>
          </w:tcPr>
          <w:p w14:paraId="555FCAC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16</w:t>
            </w:r>
          </w:p>
        </w:tc>
        <w:tc>
          <w:tcPr>
            <w:tcW w:w="780" w:type="dxa"/>
            <w:tcBorders>
              <w:top w:val="nil"/>
              <w:left w:val="nil"/>
              <w:bottom w:val="nil"/>
              <w:right w:val="single" w:sz="8" w:space="0" w:color="BFBFBF"/>
            </w:tcBorders>
            <w:shd w:val="clear" w:color="000000" w:fill="DDEBF7"/>
            <w:vAlign w:val="center"/>
            <w:hideMark/>
          </w:tcPr>
          <w:p w14:paraId="56F322D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w:t>
            </w:r>
          </w:p>
        </w:tc>
        <w:tc>
          <w:tcPr>
            <w:tcW w:w="1200" w:type="dxa"/>
            <w:tcBorders>
              <w:top w:val="nil"/>
              <w:left w:val="nil"/>
              <w:bottom w:val="nil"/>
              <w:right w:val="single" w:sz="8" w:space="0" w:color="BFBFBF"/>
            </w:tcBorders>
            <w:shd w:val="clear" w:color="000000" w:fill="DDEBF7"/>
            <w:vAlign w:val="center"/>
            <w:hideMark/>
          </w:tcPr>
          <w:p w14:paraId="488B5C5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DDEBF7"/>
            <w:vAlign w:val="center"/>
            <w:hideMark/>
          </w:tcPr>
          <w:p w14:paraId="2561E96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14%</w:t>
            </w:r>
          </w:p>
        </w:tc>
        <w:tc>
          <w:tcPr>
            <w:tcW w:w="880" w:type="dxa"/>
            <w:tcBorders>
              <w:top w:val="nil"/>
              <w:left w:val="nil"/>
              <w:bottom w:val="nil"/>
              <w:right w:val="single" w:sz="8" w:space="0" w:color="BFBFBF"/>
            </w:tcBorders>
            <w:shd w:val="clear" w:color="000000" w:fill="DDEBF7"/>
            <w:vAlign w:val="center"/>
            <w:hideMark/>
          </w:tcPr>
          <w:p w14:paraId="38438A3B" w14:textId="739E4F10"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19.</w:t>
            </w:r>
            <w:r w:rsidR="00017207">
              <w:rPr>
                <w:rFonts w:ascii="Century Gothic" w:eastAsia="Times New Roman" w:hAnsi="Century Gothic" w:cs="Calibri"/>
                <w:sz w:val="17"/>
                <w:szCs w:val="17"/>
                <w:lang w:val="en-US"/>
              </w:rPr>
              <w:t>1</w:t>
            </w:r>
            <w:r w:rsidRPr="00154D55">
              <w:rPr>
                <w:rFonts w:ascii="Century Gothic" w:eastAsia="Times New Roman" w:hAnsi="Century Gothic" w:cs="Calibri"/>
                <w:sz w:val="17"/>
                <w:szCs w:val="17"/>
                <w:lang w:val="en-US"/>
              </w:rPr>
              <w:t>%</w:t>
            </w:r>
          </w:p>
        </w:tc>
        <w:tc>
          <w:tcPr>
            <w:tcW w:w="760" w:type="dxa"/>
            <w:tcBorders>
              <w:top w:val="nil"/>
              <w:left w:val="nil"/>
              <w:bottom w:val="nil"/>
              <w:right w:val="nil"/>
            </w:tcBorders>
            <w:shd w:val="clear" w:color="000000" w:fill="DDEBF7"/>
            <w:vAlign w:val="center"/>
            <w:hideMark/>
          </w:tcPr>
          <w:p w14:paraId="121AB84D"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261D24A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20.05%</w:t>
            </w:r>
          </w:p>
        </w:tc>
        <w:tc>
          <w:tcPr>
            <w:tcW w:w="780" w:type="dxa"/>
            <w:tcBorders>
              <w:top w:val="nil"/>
              <w:left w:val="nil"/>
              <w:bottom w:val="nil"/>
              <w:right w:val="nil"/>
            </w:tcBorders>
            <w:shd w:val="clear" w:color="000000" w:fill="DDEBF7"/>
            <w:vAlign w:val="center"/>
            <w:hideMark/>
          </w:tcPr>
          <w:p w14:paraId="4714343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DDEBF7"/>
            <w:vAlign w:val="center"/>
            <w:hideMark/>
          </w:tcPr>
          <w:p w14:paraId="6D2342F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DDEBF7"/>
            <w:vAlign w:val="center"/>
            <w:hideMark/>
          </w:tcPr>
          <w:p w14:paraId="7CCD180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631EDE9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94.94%</w:t>
            </w:r>
          </w:p>
        </w:tc>
      </w:tr>
      <w:tr w:rsidR="00154D55" w:rsidRPr="00296E53" w14:paraId="7732DC99" w14:textId="77777777" w:rsidTr="00154D55">
        <w:trPr>
          <w:trHeight w:val="440"/>
          <w:jc w:val="center"/>
        </w:trPr>
        <w:tc>
          <w:tcPr>
            <w:tcW w:w="1180" w:type="dxa"/>
            <w:vMerge/>
            <w:tcBorders>
              <w:top w:val="nil"/>
              <w:left w:val="single" w:sz="8" w:space="0" w:color="BFBFBF"/>
              <w:bottom w:val="single" w:sz="8" w:space="0" w:color="BFBFBF"/>
              <w:right w:val="single" w:sz="8" w:space="0" w:color="BFBFBF"/>
            </w:tcBorders>
            <w:vAlign w:val="center"/>
            <w:hideMark/>
          </w:tcPr>
          <w:p w14:paraId="56943997"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0F724653"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EMOE COM</w:t>
            </w:r>
          </w:p>
        </w:tc>
        <w:tc>
          <w:tcPr>
            <w:tcW w:w="1720" w:type="dxa"/>
            <w:tcBorders>
              <w:top w:val="nil"/>
              <w:left w:val="single" w:sz="8" w:space="0" w:color="BFBFBF"/>
              <w:bottom w:val="nil"/>
              <w:right w:val="single" w:sz="8" w:space="0" w:color="BFBFBF"/>
            </w:tcBorders>
            <w:shd w:val="clear" w:color="000000" w:fill="BDD7EE"/>
            <w:vAlign w:val="center"/>
            <w:hideMark/>
          </w:tcPr>
          <w:p w14:paraId="2E00AA48"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 / 2019</w:t>
            </w:r>
            <w:r w:rsidRPr="00154D55">
              <w:rPr>
                <w:rFonts w:ascii="Century Gothic" w:eastAsia="Times New Roman" w:hAnsi="Century Gothic" w:cs="Calibri"/>
                <w:sz w:val="17"/>
                <w:szCs w:val="17"/>
                <w:lang w:val="en-US"/>
              </w:rPr>
              <w:br/>
              <w:t>1, 2, …,11 / 2020</w:t>
            </w:r>
          </w:p>
        </w:tc>
        <w:tc>
          <w:tcPr>
            <w:tcW w:w="760" w:type="dxa"/>
            <w:tcBorders>
              <w:top w:val="nil"/>
              <w:left w:val="nil"/>
              <w:bottom w:val="nil"/>
              <w:right w:val="nil"/>
            </w:tcBorders>
            <w:shd w:val="clear" w:color="000000" w:fill="BDD7EE"/>
            <w:vAlign w:val="center"/>
            <w:hideMark/>
          </w:tcPr>
          <w:p w14:paraId="6A91549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16</w:t>
            </w:r>
          </w:p>
        </w:tc>
        <w:tc>
          <w:tcPr>
            <w:tcW w:w="780" w:type="dxa"/>
            <w:tcBorders>
              <w:top w:val="nil"/>
              <w:left w:val="nil"/>
              <w:bottom w:val="nil"/>
              <w:right w:val="single" w:sz="8" w:space="0" w:color="BFBFBF"/>
            </w:tcBorders>
            <w:shd w:val="clear" w:color="000000" w:fill="BDD7EE"/>
            <w:vAlign w:val="center"/>
            <w:hideMark/>
          </w:tcPr>
          <w:p w14:paraId="6467D74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w:t>
            </w:r>
          </w:p>
        </w:tc>
        <w:tc>
          <w:tcPr>
            <w:tcW w:w="1200" w:type="dxa"/>
            <w:tcBorders>
              <w:top w:val="nil"/>
              <w:left w:val="nil"/>
              <w:bottom w:val="nil"/>
              <w:right w:val="single" w:sz="8" w:space="0" w:color="BFBFBF"/>
            </w:tcBorders>
            <w:shd w:val="clear" w:color="000000" w:fill="BDD7EE"/>
            <w:vAlign w:val="center"/>
            <w:hideMark/>
          </w:tcPr>
          <w:p w14:paraId="7EBBEE7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0AB7C28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14%</w:t>
            </w:r>
          </w:p>
        </w:tc>
        <w:tc>
          <w:tcPr>
            <w:tcW w:w="880" w:type="dxa"/>
            <w:tcBorders>
              <w:top w:val="nil"/>
              <w:left w:val="nil"/>
              <w:bottom w:val="nil"/>
              <w:right w:val="single" w:sz="8" w:space="0" w:color="BFBFBF"/>
            </w:tcBorders>
            <w:shd w:val="clear" w:color="000000" w:fill="BDD7EE"/>
            <w:vAlign w:val="center"/>
            <w:hideMark/>
          </w:tcPr>
          <w:p w14:paraId="46AEFF46" w14:textId="6DBE61C8"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14.</w:t>
            </w:r>
            <w:r w:rsidR="00017207">
              <w:rPr>
                <w:rFonts w:ascii="Century Gothic" w:eastAsia="Times New Roman" w:hAnsi="Century Gothic" w:cs="Calibri"/>
                <w:sz w:val="17"/>
                <w:szCs w:val="17"/>
                <w:lang w:val="en-US"/>
              </w:rPr>
              <w:t>82</w:t>
            </w:r>
            <w:r w:rsidRPr="00154D55">
              <w:rPr>
                <w:rFonts w:ascii="Century Gothic" w:eastAsia="Times New Roman" w:hAnsi="Century Gothic" w:cs="Calibri"/>
                <w:sz w:val="17"/>
                <w:szCs w:val="17"/>
                <w:lang w:val="en-US"/>
              </w:rPr>
              <w:t>%</w:t>
            </w:r>
          </w:p>
        </w:tc>
        <w:tc>
          <w:tcPr>
            <w:tcW w:w="760" w:type="dxa"/>
            <w:tcBorders>
              <w:top w:val="nil"/>
              <w:left w:val="nil"/>
              <w:bottom w:val="nil"/>
              <w:right w:val="nil"/>
            </w:tcBorders>
            <w:shd w:val="clear" w:color="000000" w:fill="BDD7EE"/>
            <w:vAlign w:val="center"/>
            <w:hideMark/>
          </w:tcPr>
          <w:p w14:paraId="428403C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BDD7EE"/>
            <w:vAlign w:val="center"/>
            <w:hideMark/>
          </w:tcPr>
          <w:p w14:paraId="5D920A50" w14:textId="7D28947A"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r w:rsidR="00017207">
              <w:rPr>
                <w:rFonts w:ascii="Century Gothic" w:eastAsia="Times New Roman" w:hAnsi="Century Gothic" w:cs="Calibri"/>
                <w:sz w:val="17"/>
                <w:szCs w:val="17"/>
                <w:lang w:val="en-US"/>
              </w:rPr>
              <w:t>2</w:t>
            </w:r>
            <w:r w:rsidRPr="00154D55">
              <w:rPr>
                <w:rFonts w:ascii="Century Gothic" w:eastAsia="Times New Roman" w:hAnsi="Century Gothic" w:cs="Calibri"/>
                <w:sz w:val="17"/>
                <w:szCs w:val="17"/>
                <w:lang w:val="en-US"/>
              </w:rPr>
              <w:t>%</w:t>
            </w:r>
          </w:p>
        </w:tc>
        <w:tc>
          <w:tcPr>
            <w:tcW w:w="780" w:type="dxa"/>
            <w:tcBorders>
              <w:top w:val="nil"/>
              <w:left w:val="nil"/>
              <w:bottom w:val="nil"/>
              <w:right w:val="nil"/>
            </w:tcBorders>
            <w:shd w:val="clear" w:color="000000" w:fill="BDD7EE"/>
            <w:vAlign w:val="center"/>
            <w:hideMark/>
          </w:tcPr>
          <w:p w14:paraId="46A2862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BDD7EE"/>
            <w:vAlign w:val="center"/>
            <w:hideMark/>
          </w:tcPr>
          <w:p w14:paraId="6401D0B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BDD7EE"/>
            <w:vAlign w:val="center"/>
            <w:hideMark/>
          </w:tcPr>
          <w:p w14:paraId="34B03BE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67F68400" w14:textId="09E730F3"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w:t>
            </w:r>
            <w:r w:rsidR="00017207">
              <w:rPr>
                <w:rFonts w:ascii="Century Gothic" w:eastAsia="Times New Roman" w:hAnsi="Century Gothic" w:cs="Calibri"/>
                <w:sz w:val="17"/>
                <w:szCs w:val="17"/>
                <w:lang w:val="en-US"/>
              </w:rPr>
              <w:t>6</w:t>
            </w:r>
            <w:r w:rsidRPr="00154D55">
              <w:rPr>
                <w:rFonts w:ascii="Century Gothic" w:eastAsia="Times New Roman" w:hAnsi="Century Gothic" w:cs="Calibri"/>
                <w:sz w:val="17"/>
                <w:szCs w:val="17"/>
                <w:lang w:val="en-US"/>
              </w:rPr>
              <w:t>.</w:t>
            </w:r>
            <w:r w:rsidR="00017207">
              <w:rPr>
                <w:rFonts w:ascii="Century Gothic" w:eastAsia="Times New Roman" w:hAnsi="Century Gothic" w:cs="Calibri"/>
                <w:sz w:val="17"/>
                <w:szCs w:val="17"/>
                <w:lang w:val="en-US"/>
              </w:rPr>
              <w:t>9</w:t>
            </w:r>
            <w:r w:rsidRPr="00154D55">
              <w:rPr>
                <w:rFonts w:ascii="Century Gothic" w:eastAsia="Times New Roman" w:hAnsi="Century Gothic" w:cs="Calibri"/>
                <w:sz w:val="17"/>
                <w:szCs w:val="17"/>
                <w:lang w:val="en-US"/>
              </w:rPr>
              <w:t>%</w:t>
            </w:r>
          </w:p>
        </w:tc>
      </w:tr>
      <w:tr w:rsidR="00154D55" w:rsidRPr="00296E53" w14:paraId="08F59493" w14:textId="77777777" w:rsidTr="00154D55">
        <w:trPr>
          <w:trHeight w:val="450"/>
          <w:jc w:val="center"/>
        </w:trPr>
        <w:tc>
          <w:tcPr>
            <w:tcW w:w="1180" w:type="dxa"/>
            <w:vMerge/>
            <w:tcBorders>
              <w:top w:val="nil"/>
              <w:left w:val="single" w:sz="8" w:space="0" w:color="BFBFBF"/>
              <w:bottom w:val="single" w:sz="8" w:space="0" w:color="BFBFBF"/>
              <w:right w:val="single" w:sz="8" w:space="0" w:color="BFBFBF"/>
            </w:tcBorders>
            <w:vAlign w:val="center"/>
            <w:hideMark/>
          </w:tcPr>
          <w:p w14:paraId="7545C94C"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single" w:sz="8" w:space="0" w:color="BFBFBF"/>
              <w:right w:val="nil"/>
            </w:tcBorders>
            <w:shd w:val="clear" w:color="000000" w:fill="BDD7EE"/>
            <w:vAlign w:val="center"/>
            <w:hideMark/>
          </w:tcPr>
          <w:p w14:paraId="11486239"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EMOE SER</w:t>
            </w:r>
          </w:p>
        </w:tc>
        <w:tc>
          <w:tcPr>
            <w:tcW w:w="1720" w:type="dxa"/>
            <w:tcBorders>
              <w:top w:val="nil"/>
              <w:left w:val="single" w:sz="8" w:space="0" w:color="BFBFBF"/>
              <w:bottom w:val="single" w:sz="8" w:space="0" w:color="BFBFBF"/>
              <w:right w:val="single" w:sz="8" w:space="0" w:color="BFBFBF"/>
            </w:tcBorders>
            <w:shd w:val="clear" w:color="000000" w:fill="BDD7EE"/>
            <w:vAlign w:val="center"/>
            <w:hideMark/>
          </w:tcPr>
          <w:p w14:paraId="20ECD0B1"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 / 2019</w:t>
            </w:r>
            <w:r w:rsidRPr="00154D55">
              <w:rPr>
                <w:rFonts w:ascii="Century Gothic" w:eastAsia="Times New Roman" w:hAnsi="Century Gothic" w:cs="Calibri"/>
                <w:sz w:val="17"/>
                <w:szCs w:val="17"/>
                <w:lang w:val="en-US"/>
              </w:rPr>
              <w:br/>
              <w:t>1, 2, …,11 / 2020</w:t>
            </w:r>
          </w:p>
        </w:tc>
        <w:tc>
          <w:tcPr>
            <w:tcW w:w="760" w:type="dxa"/>
            <w:tcBorders>
              <w:top w:val="nil"/>
              <w:left w:val="nil"/>
              <w:bottom w:val="single" w:sz="8" w:space="0" w:color="BFBFBF"/>
              <w:right w:val="nil"/>
            </w:tcBorders>
            <w:shd w:val="clear" w:color="000000" w:fill="BDD7EE"/>
            <w:vAlign w:val="center"/>
            <w:hideMark/>
          </w:tcPr>
          <w:p w14:paraId="380EE1AE"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42</w:t>
            </w:r>
          </w:p>
        </w:tc>
        <w:tc>
          <w:tcPr>
            <w:tcW w:w="780" w:type="dxa"/>
            <w:tcBorders>
              <w:top w:val="nil"/>
              <w:left w:val="nil"/>
              <w:bottom w:val="single" w:sz="8" w:space="0" w:color="BFBFBF"/>
              <w:right w:val="single" w:sz="8" w:space="0" w:color="BFBFBF"/>
            </w:tcBorders>
            <w:shd w:val="clear" w:color="000000" w:fill="BDD7EE"/>
            <w:vAlign w:val="center"/>
            <w:hideMark/>
          </w:tcPr>
          <w:p w14:paraId="2DF49FB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72</w:t>
            </w:r>
          </w:p>
        </w:tc>
        <w:tc>
          <w:tcPr>
            <w:tcW w:w="1200" w:type="dxa"/>
            <w:tcBorders>
              <w:top w:val="nil"/>
              <w:left w:val="nil"/>
              <w:bottom w:val="single" w:sz="8" w:space="0" w:color="BFBFBF"/>
              <w:right w:val="single" w:sz="8" w:space="0" w:color="BFBFBF"/>
            </w:tcBorders>
            <w:shd w:val="clear" w:color="000000" w:fill="BDD7EE"/>
            <w:vAlign w:val="center"/>
            <w:hideMark/>
          </w:tcPr>
          <w:p w14:paraId="1C9FD83E"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single" w:sz="8" w:space="0" w:color="BFBFBF"/>
              <w:right w:val="nil"/>
            </w:tcBorders>
            <w:shd w:val="clear" w:color="000000" w:fill="BDD7EE"/>
            <w:vAlign w:val="center"/>
            <w:hideMark/>
          </w:tcPr>
          <w:p w14:paraId="3B37952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w:t>
            </w:r>
          </w:p>
        </w:tc>
        <w:tc>
          <w:tcPr>
            <w:tcW w:w="880" w:type="dxa"/>
            <w:tcBorders>
              <w:top w:val="nil"/>
              <w:left w:val="nil"/>
              <w:bottom w:val="single" w:sz="8" w:space="0" w:color="BFBFBF"/>
              <w:right w:val="single" w:sz="8" w:space="0" w:color="BFBFBF"/>
            </w:tcBorders>
            <w:shd w:val="clear" w:color="000000" w:fill="BDD7EE"/>
            <w:vAlign w:val="center"/>
            <w:hideMark/>
          </w:tcPr>
          <w:p w14:paraId="5E6279D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23.88%</w:t>
            </w:r>
          </w:p>
        </w:tc>
        <w:tc>
          <w:tcPr>
            <w:tcW w:w="760" w:type="dxa"/>
            <w:tcBorders>
              <w:top w:val="nil"/>
              <w:left w:val="nil"/>
              <w:bottom w:val="single" w:sz="8" w:space="0" w:color="BFBFBF"/>
              <w:right w:val="nil"/>
            </w:tcBorders>
            <w:shd w:val="clear" w:color="000000" w:fill="BDD7EE"/>
            <w:vAlign w:val="center"/>
            <w:hideMark/>
          </w:tcPr>
          <w:p w14:paraId="02EA456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single" w:sz="8" w:space="0" w:color="BFBFBF"/>
              <w:right w:val="single" w:sz="8" w:space="0" w:color="BFBFBF"/>
            </w:tcBorders>
            <w:shd w:val="clear" w:color="000000" w:fill="BDD7EE"/>
            <w:vAlign w:val="center"/>
            <w:hideMark/>
          </w:tcPr>
          <w:p w14:paraId="7074DDF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24.61%</w:t>
            </w:r>
          </w:p>
        </w:tc>
        <w:tc>
          <w:tcPr>
            <w:tcW w:w="780" w:type="dxa"/>
            <w:tcBorders>
              <w:top w:val="nil"/>
              <w:left w:val="nil"/>
              <w:bottom w:val="single" w:sz="8" w:space="0" w:color="BFBFBF"/>
              <w:right w:val="nil"/>
            </w:tcBorders>
            <w:shd w:val="clear" w:color="000000" w:fill="BDD7EE"/>
            <w:vAlign w:val="center"/>
            <w:hideMark/>
          </w:tcPr>
          <w:p w14:paraId="4E739E3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single" w:sz="8" w:space="0" w:color="BFBFBF"/>
              <w:right w:val="single" w:sz="8" w:space="0" w:color="BFBFBF"/>
            </w:tcBorders>
            <w:shd w:val="clear" w:color="000000" w:fill="BDD7EE"/>
            <w:vAlign w:val="center"/>
            <w:hideMark/>
          </w:tcPr>
          <w:p w14:paraId="4489031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single" w:sz="8" w:space="0" w:color="BFBFBF"/>
              <w:right w:val="nil"/>
            </w:tcBorders>
            <w:shd w:val="clear" w:color="000000" w:fill="BDD7EE"/>
            <w:vAlign w:val="center"/>
            <w:hideMark/>
          </w:tcPr>
          <w:p w14:paraId="574846C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single" w:sz="8" w:space="0" w:color="BFBFBF"/>
              <w:right w:val="single" w:sz="8" w:space="0" w:color="BFBFBF"/>
            </w:tcBorders>
            <w:shd w:val="clear" w:color="000000" w:fill="BDD7EE"/>
            <w:vAlign w:val="center"/>
            <w:hideMark/>
          </w:tcPr>
          <w:p w14:paraId="0AD0D7DB" w14:textId="60ECB5D1"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91.</w:t>
            </w:r>
            <w:r w:rsidR="00017207">
              <w:rPr>
                <w:rFonts w:ascii="Century Gothic" w:eastAsia="Times New Roman" w:hAnsi="Century Gothic" w:cs="Calibri"/>
                <w:sz w:val="17"/>
                <w:szCs w:val="17"/>
                <w:lang w:val="en-US"/>
              </w:rPr>
              <w:t>4</w:t>
            </w:r>
            <w:r w:rsidRPr="00154D55">
              <w:rPr>
                <w:rFonts w:ascii="Century Gothic" w:eastAsia="Times New Roman" w:hAnsi="Century Gothic" w:cs="Calibri"/>
                <w:sz w:val="17"/>
                <w:szCs w:val="17"/>
                <w:lang w:val="en-US"/>
              </w:rPr>
              <w:t>%</w:t>
            </w:r>
          </w:p>
        </w:tc>
      </w:tr>
    </w:tbl>
    <w:p w14:paraId="6138CC2D" w14:textId="77777777" w:rsidR="00985113" w:rsidRPr="00296E53" w:rsidRDefault="00985113" w:rsidP="00985113">
      <w:pPr>
        <w:spacing w:after="0"/>
        <w:jc w:val="both"/>
        <w:rPr>
          <w:rFonts w:ascii="Century Gothic" w:hAnsi="Century Gothic" w:cstheme="minorHAnsi"/>
          <w:sz w:val="16"/>
          <w:szCs w:val="16"/>
        </w:rPr>
      </w:pPr>
      <w:r w:rsidRPr="00296E53">
        <w:rPr>
          <w:rFonts w:ascii="Century Gothic" w:hAnsi="Century Gothic" w:cstheme="minorHAnsi"/>
          <w:sz w:val="16"/>
          <w:szCs w:val="16"/>
        </w:rPr>
        <w:t>a/ Para el cálculo del promedio no se incluye en "Nivel de agregación al que corresponde la agrupación (Nivel__</w:t>
      </w:r>
      <w:proofErr w:type="spellStart"/>
      <w:r w:rsidRPr="00296E53">
        <w:rPr>
          <w:rFonts w:ascii="Century Gothic" w:hAnsi="Century Gothic" w:cstheme="minorHAnsi"/>
          <w:sz w:val="16"/>
          <w:szCs w:val="16"/>
        </w:rPr>
        <w:t>Agreg_Agrupacion</w:t>
      </w:r>
      <w:proofErr w:type="spellEnd"/>
      <w:r w:rsidRPr="00296E53">
        <w:rPr>
          <w:rFonts w:ascii="Century Gothic" w:hAnsi="Century Gothic" w:cstheme="minorHAnsi"/>
          <w:sz w:val="16"/>
          <w:szCs w:val="16"/>
        </w:rPr>
        <w:t>)" datos nacionales o totales, ya que en sí mismos son un promedio. Con excepción de las encuestas que presentan un único caso.</w:t>
      </w:r>
    </w:p>
    <w:p w14:paraId="5AFDB815" w14:textId="77777777" w:rsidR="00985113" w:rsidRPr="00296E53" w:rsidRDefault="00985113" w:rsidP="00985113">
      <w:pPr>
        <w:spacing w:after="0"/>
        <w:jc w:val="both"/>
        <w:rPr>
          <w:rFonts w:ascii="Century Gothic" w:hAnsi="Century Gothic" w:cstheme="minorHAnsi"/>
          <w:sz w:val="16"/>
          <w:szCs w:val="16"/>
        </w:rPr>
      </w:pPr>
      <w:proofErr w:type="spellStart"/>
      <w:r w:rsidRPr="00296E53">
        <w:rPr>
          <w:rFonts w:ascii="Century Gothic" w:hAnsi="Century Gothic" w:cstheme="minorHAnsi"/>
          <w:sz w:val="16"/>
          <w:szCs w:val="16"/>
        </w:rPr>
        <w:t>b/</w:t>
      </w:r>
      <w:proofErr w:type="spellEnd"/>
      <w:r w:rsidRPr="00296E53">
        <w:rPr>
          <w:rFonts w:ascii="Century Gothic" w:hAnsi="Century Gothic" w:cstheme="minorHAnsi"/>
          <w:sz w:val="16"/>
          <w:szCs w:val="16"/>
        </w:rPr>
        <w:t xml:space="preserve"> Incluye todos los dominios y niveles de agregación.</w:t>
      </w:r>
    </w:p>
    <w:p w14:paraId="528BE062" w14:textId="77777777" w:rsidR="00985113" w:rsidRPr="00296E53" w:rsidRDefault="00985113" w:rsidP="00985113">
      <w:pPr>
        <w:spacing w:after="0"/>
        <w:jc w:val="both"/>
        <w:rPr>
          <w:rFonts w:ascii="Century Gothic" w:hAnsi="Century Gothic" w:cstheme="minorHAnsi"/>
          <w:sz w:val="16"/>
          <w:szCs w:val="16"/>
        </w:rPr>
      </w:pPr>
      <w:r w:rsidRPr="00296E53">
        <w:rPr>
          <w:rFonts w:ascii="Century Gothic" w:hAnsi="Century Gothic" w:cstheme="minorHAnsi"/>
          <w:sz w:val="16"/>
          <w:szCs w:val="16"/>
        </w:rPr>
        <w:t>c/ Incluye todos los dominios de estudio y solo para casos únicos se consideran niveles de agregación.</w:t>
      </w:r>
    </w:p>
    <w:p w14:paraId="5B2BF8E0" w14:textId="77777777" w:rsidR="00985113" w:rsidRPr="00296E53" w:rsidRDefault="00985113" w:rsidP="00985113">
      <w:pPr>
        <w:spacing w:after="0"/>
        <w:jc w:val="both"/>
        <w:rPr>
          <w:rFonts w:ascii="Century Gothic" w:hAnsi="Century Gothic" w:cstheme="minorHAnsi"/>
          <w:sz w:val="16"/>
          <w:szCs w:val="16"/>
        </w:rPr>
      </w:pPr>
      <w:r w:rsidRPr="00296E53">
        <w:rPr>
          <w:rFonts w:ascii="Century Gothic" w:hAnsi="Century Gothic" w:cstheme="minorHAnsi"/>
          <w:sz w:val="16"/>
          <w:szCs w:val="16"/>
        </w:rPr>
        <w:t xml:space="preserve">e/ Los </w:t>
      </w:r>
      <w:proofErr w:type="spellStart"/>
      <w:r w:rsidRPr="00296E53">
        <w:rPr>
          <w:rFonts w:ascii="Century Gothic" w:hAnsi="Century Gothic" w:cstheme="minorHAnsi"/>
          <w:sz w:val="16"/>
          <w:szCs w:val="16"/>
        </w:rPr>
        <w:t>IPE´s</w:t>
      </w:r>
      <w:proofErr w:type="spellEnd"/>
      <w:r w:rsidRPr="00296E53">
        <w:rPr>
          <w:rFonts w:ascii="Century Gothic" w:hAnsi="Century Gothic" w:cstheme="minorHAnsi"/>
          <w:sz w:val="16"/>
          <w:szCs w:val="16"/>
        </w:rPr>
        <w:t xml:space="preserve"> internos, se entregaron extemporáneamente.</w:t>
      </w:r>
    </w:p>
    <w:p w14:paraId="40F78B15" w14:textId="73DA6DAF" w:rsidR="00985113" w:rsidRPr="00296E53" w:rsidRDefault="00985113" w:rsidP="00985113">
      <w:pPr>
        <w:spacing w:after="0"/>
        <w:jc w:val="both"/>
        <w:rPr>
          <w:rFonts w:ascii="Century Gothic" w:hAnsi="Century Gothic" w:cstheme="minorHAnsi"/>
          <w:sz w:val="16"/>
          <w:szCs w:val="16"/>
        </w:rPr>
      </w:pPr>
      <w:proofErr w:type="spellStart"/>
      <w:r w:rsidRPr="00296E53">
        <w:rPr>
          <w:rFonts w:ascii="Century Gothic" w:hAnsi="Century Gothic" w:cstheme="minorHAnsi"/>
          <w:sz w:val="16"/>
          <w:szCs w:val="16"/>
        </w:rPr>
        <w:t>nr</w:t>
      </w:r>
      <w:proofErr w:type="spellEnd"/>
      <w:r w:rsidRPr="00296E53">
        <w:rPr>
          <w:rFonts w:ascii="Century Gothic" w:hAnsi="Century Gothic" w:cstheme="minorHAnsi"/>
          <w:sz w:val="16"/>
          <w:szCs w:val="16"/>
        </w:rPr>
        <w:t>: no rep</w:t>
      </w:r>
      <w:r w:rsidR="00915E45" w:rsidRPr="00296E53">
        <w:rPr>
          <w:rFonts w:ascii="Century Gothic" w:hAnsi="Century Gothic" w:cstheme="minorHAnsi"/>
          <w:sz w:val="16"/>
          <w:szCs w:val="16"/>
        </w:rPr>
        <w:t>o</w:t>
      </w:r>
      <w:r w:rsidRPr="00296E53">
        <w:rPr>
          <w:rFonts w:ascii="Century Gothic" w:hAnsi="Century Gothic" w:cstheme="minorHAnsi"/>
          <w:sz w:val="16"/>
          <w:szCs w:val="16"/>
        </w:rPr>
        <w:t>rtado</w:t>
      </w:r>
    </w:p>
    <w:p w14:paraId="59F3F18B" w14:textId="7E79C597" w:rsidR="00D103B2" w:rsidRPr="00296E53" w:rsidRDefault="00D103B2" w:rsidP="00D103B2">
      <w:pPr>
        <w:spacing w:after="10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2019, correspondientes a los indicadores los registrados en metadatos durante ese año, independientemente del período de publicación de la información.</w:t>
      </w:r>
    </w:p>
    <w:p w14:paraId="7E863A5C" w14:textId="209E40E5" w:rsidR="00D103B2" w:rsidRPr="00296E53" w:rsidRDefault="00D103B2" w:rsidP="00D103B2">
      <w:pPr>
        <w:spacing w:after="100"/>
        <w:ind w:left="426" w:hanging="142"/>
        <w:jc w:val="both"/>
        <w:rPr>
          <w:rFonts w:ascii="Century Gothic" w:hAnsi="Century Gothic"/>
          <w:sz w:val="14"/>
          <w:szCs w:val="14"/>
        </w:rPr>
      </w:pPr>
      <w:r w:rsidRPr="00296E53">
        <w:rPr>
          <w:rFonts w:ascii="Century Gothic" w:hAnsi="Century Gothic"/>
          <w:sz w:val="14"/>
          <w:szCs w:val="14"/>
        </w:rPr>
        <w:t>** Estos datos corresponden a los indicadores registrados en metadatos durante el 2020, independientemente del período de publicación de la información.</w:t>
      </w:r>
    </w:p>
    <w:p w14:paraId="76261562" w14:textId="77777777" w:rsidR="005340F6" w:rsidRPr="00296E53" w:rsidRDefault="005340F6">
      <w:pPr>
        <w:rPr>
          <w:rFonts w:ascii="Century Gothic" w:hAnsi="Century Gothic" w:cstheme="minorHAnsi"/>
          <w:sz w:val="19"/>
          <w:szCs w:val="19"/>
        </w:rPr>
      </w:pPr>
    </w:p>
    <w:p w14:paraId="0E27A91E" w14:textId="4A7D542B" w:rsidR="004C07A2" w:rsidRPr="00296E53" w:rsidRDefault="004244F0" w:rsidP="00B90BEA">
      <w:pPr>
        <w:jc w:val="both"/>
        <w:rPr>
          <w:rFonts w:ascii="Century Gothic" w:hAnsi="Century Gothic" w:cstheme="minorHAnsi"/>
          <w:sz w:val="19"/>
          <w:szCs w:val="19"/>
        </w:rPr>
      </w:pPr>
      <w:r w:rsidRPr="00296E53">
        <w:rPr>
          <w:rFonts w:ascii="Century Gothic" w:hAnsi="Century Gothic" w:cstheme="minorHAnsi"/>
          <w:sz w:val="19"/>
          <w:szCs w:val="19"/>
        </w:rPr>
        <w:t xml:space="preserve">Para complementar el análisis anterior, conviene revisar la distribución de la tasa de no respuesta, para lo cual se incluyeron las gráficas que se presentan a continuación.  La sección verde corresponde al valor establecido en el diseño muestral como la tasa de no respuesta máxima esperada. En primer lugar, se </w:t>
      </w:r>
      <w:r w:rsidR="00077D19" w:rsidRPr="00296E53">
        <w:rPr>
          <w:rFonts w:ascii="Century Gothic" w:hAnsi="Century Gothic" w:cstheme="minorHAnsi"/>
          <w:sz w:val="19"/>
          <w:szCs w:val="19"/>
        </w:rPr>
        <w:t>describe</w:t>
      </w:r>
      <w:r w:rsidRPr="00296E53">
        <w:rPr>
          <w:rFonts w:ascii="Century Gothic" w:hAnsi="Century Gothic" w:cstheme="minorHAnsi"/>
          <w:sz w:val="19"/>
          <w:szCs w:val="19"/>
        </w:rPr>
        <w:t xml:space="preserve"> la distribución de las encuestas mensuales y trimestrales </w:t>
      </w:r>
      <w:r w:rsidR="00077D19" w:rsidRPr="00296E53">
        <w:rPr>
          <w:rFonts w:ascii="Century Gothic" w:hAnsi="Century Gothic" w:cstheme="minorHAnsi"/>
          <w:sz w:val="19"/>
          <w:szCs w:val="19"/>
        </w:rPr>
        <w:t>cuyas</w:t>
      </w:r>
      <w:r w:rsidRPr="00296E53">
        <w:rPr>
          <w:rFonts w:ascii="Century Gothic" w:hAnsi="Century Gothic" w:cstheme="minorHAnsi"/>
          <w:sz w:val="19"/>
          <w:szCs w:val="19"/>
        </w:rPr>
        <w:t xml:space="preserve"> tasas de no respuesta superiores a 15% en alguno de sus dominios de estudio (A.6.9). </w:t>
      </w:r>
      <w:r w:rsidR="004C07A2" w:rsidRPr="00296E53">
        <w:rPr>
          <w:rFonts w:ascii="Century Gothic" w:hAnsi="Century Gothic" w:cstheme="minorHAnsi"/>
          <w:sz w:val="19"/>
          <w:szCs w:val="19"/>
        </w:rPr>
        <w:br w:type="page"/>
      </w:r>
    </w:p>
    <w:p w14:paraId="228FA517" w14:textId="77777777" w:rsidR="004C07A2" w:rsidRPr="00296E53" w:rsidRDefault="004C07A2" w:rsidP="004C07A2">
      <w:pPr>
        <w:jc w:val="center"/>
        <w:rPr>
          <w:rFonts w:ascii="Century Gothic" w:hAnsi="Century Gothic" w:cstheme="minorHAnsi"/>
          <w:sz w:val="19"/>
          <w:szCs w:val="19"/>
        </w:rPr>
      </w:pPr>
      <w:r w:rsidRPr="00296E53">
        <w:rPr>
          <w:rFonts w:ascii="Century Gothic" w:hAnsi="Century Gothic" w:cstheme="majorHAnsi"/>
          <w:b/>
          <w:sz w:val="19"/>
          <w:szCs w:val="19"/>
        </w:rPr>
        <w:t xml:space="preserve">A.6.9. Distribución de las Tasas de No Respuesta con observaciones mayores al 15% (escala 0 – (80) </w:t>
      </w:r>
      <w:r w:rsidRPr="00296E53">
        <w:rPr>
          <w:rStyle w:val="Refdenotaalpie"/>
          <w:rFonts w:ascii="Century Gothic" w:hAnsi="Century Gothic" w:cstheme="majorHAnsi"/>
          <w:b/>
          <w:sz w:val="19"/>
          <w:szCs w:val="19"/>
        </w:rPr>
        <w:footnoteReference w:id="10"/>
      </w:r>
    </w:p>
    <w:p w14:paraId="7BBD17E0" w14:textId="77777777" w:rsidR="004903C2" w:rsidRPr="00296E53" w:rsidRDefault="004903C2">
      <w:pPr>
        <w:rPr>
          <w:rFonts w:ascii="Century Gothic" w:hAnsi="Century Gothic" w:cstheme="minorHAnsi"/>
          <w:sz w:val="19"/>
          <w:szCs w:val="19"/>
        </w:rPr>
      </w:pPr>
    </w:p>
    <w:p w14:paraId="2049F93E" w14:textId="77777777" w:rsidR="004903C2" w:rsidRPr="00296E53" w:rsidRDefault="004C07A2" w:rsidP="004C07A2">
      <w:pPr>
        <w:jc w:val="center"/>
        <w:rPr>
          <w:rFonts w:ascii="Century Gothic" w:hAnsi="Century Gothic" w:cstheme="minorHAnsi"/>
          <w:sz w:val="19"/>
          <w:szCs w:val="19"/>
        </w:rPr>
      </w:pPr>
      <w:r w:rsidRPr="00296E53">
        <w:rPr>
          <w:rFonts w:ascii="Century Gothic" w:hAnsi="Century Gothic" w:cstheme="minorHAnsi"/>
          <w:noProof/>
          <w:sz w:val="19"/>
          <w:szCs w:val="19"/>
          <w:lang w:eastAsia="es-MX"/>
        </w:rPr>
        <w:drawing>
          <wp:inline distT="0" distB="0" distL="0" distR="0" wp14:anchorId="2E4D4776" wp14:editId="65BB41F2">
            <wp:extent cx="8501820" cy="491665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NR_mayor_15_mes_trim_2da_propuesta_1ra_parte.PNG"/>
                    <pic:cNvPicPr/>
                  </pic:nvPicPr>
                  <pic:blipFill>
                    <a:blip r:embed="rId36">
                      <a:extLst>
                        <a:ext uri="{28A0092B-C50C-407E-A947-70E740481C1C}">
                          <a14:useLocalDpi xmlns:a14="http://schemas.microsoft.com/office/drawing/2010/main" val="0"/>
                        </a:ext>
                      </a:extLst>
                    </a:blip>
                    <a:stretch>
                      <a:fillRect/>
                    </a:stretch>
                  </pic:blipFill>
                  <pic:spPr>
                    <a:xfrm>
                      <a:off x="0" y="0"/>
                      <a:ext cx="8619211" cy="4984546"/>
                    </a:xfrm>
                    <a:prstGeom prst="rect">
                      <a:avLst/>
                    </a:prstGeom>
                  </pic:spPr>
                </pic:pic>
              </a:graphicData>
            </a:graphic>
          </wp:inline>
        </w:drawing>
      </w:r>
    </w:p>
    <w:p w14:paraId="50EB8595" w14:textId="77777777" w:rsidR="004903C2" w:rsidRPr="00296E53" w:rsidRDefault="004903C2" w:rsidP="004C07A2">
      <w:pPr>
        <w:jc w:val="center"/>
        <w:rPr>
          <w:rFonts w:ascii="Century Gothic" w:hAnsi="Century Gothic" w:cstheme="minorHAnsi"/>
          <w:sz w:val="19"/>
          <w:szCs w:val="19"/>
        </w:rPr>
      </w:pPr>
    </w:p>
    <w:p w14:paraId="76707899" w14:textId="77777777" w:rsidR="004C07A2" w:rsidRPr="00296E53" w:rsidRDefault="004C07A2" w:rsidP="004C07A2">
      <w:pPr>
        <w:jc w:val="center"/>
        <w:rPr>
          <w:rFonts w:ascii="Century Gothic" w:hAnsi="Century Gothic" w:cstheme="minorHAnsi"/>
          <w:sz w:val="19"/>
          <w:szCs w:val="19"/>
        </w:rPr>
      </w:pPr>
      <w:r w:rsidRPr="00296E53">
        <w:rPr>
          <w:rFonts w:ascii="Century Gothic" w:hAnsi="Century Gothic" w:cstheme="minorHAnsi"/>
          <w:noProof/>
          <w:sz w:val="19"/>
          <w:szCs w:val="19"/>
          <w:lang w:eastAsia="es-MX"/>
        </w:rPr>
        <w:drawing>
          <wp:inline distT="0" distB="0" distL="0" distR="0" wp14:anchorId="5BDDD713" wp14:editId="6890DEE6">
            <wp:extent cx="7413674" cy="3840256"/>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NR_mayor_15_mes_trim_2da_propuesta_2da_parte.PNG"/>
                    <pic:cNvPicPr/>
                  </pic:nvPicPr>
                  <pic:blipFill>
                    <a:blip r:embed="rId37">
                      <a:extLst>
                        <a:ext uri="{28A0092B-C50C-407E-A947-70E740481C1C}">
                          <a14:useLocalDpi xmlns:a14="http://schemas.microsoft.com/office/drawing/2010/main" val="0"/>
                        </a:ext>
                      </a:extLst>
                    </a:blip>
                    <a:stretch>
                      <a:fillRect/>
                    </a:stretch>
                  </pic:blipFill>
                  <pic:spPr>
                    <a:xfrm>
                      <a:off x="0" y="0"/>
                      <a:ext cx="7472887" cy="3870928"/>
                    </a:xfrm>
                    <a:prstGeom prst="rect">
                      <a:avLst/>
                    </a:prstGeom>
                  </pic:spPr>
                </pic:pic>
              </a:graphicData>
            </a:graphic>
          </wp:inline>
        </w:drawing>
      </w:r>
    </w:p>
    <w:p w14:paraId="53CF6CC2" w14:textId="77777777" w:rsidR="004C07A2" w:rsidRPr="00296E53" w:rsidRDefault="004C07A2">
      <w:pPr>
        <w:rPr>
          <w:rFonts w:ascii="Century Gothic" w:hAnsi="Century Gothic" w:cstheme="minorHAnsi"/>
          <w:sz w:val="19"/>
          <w:szCs w:val="19"/>
        </w:rPr>
      </w:pPr>
    </w:p>
    <w:p w14:paraId="578C2CF6" w14:textId="77777777" w:rsidR="004C07A2" w:rsidRPr="00296E53" w:rsidRDefault="004C07A2" w:rsidP="004C07A2">
      <w:pPr>
        <w:jc w:val="center"/>
        <w:rPr>
          <w:rFonts w:ascii="Century Gothic" w:hAnsi="Century Gothic" w:cstheme="minorHAnsi"/>
          <w:sz w:val="19"/>
          <w:szCs w:val="19"/>
        </w:rPr>
      </w:pPr>
      <w:r w:rsidRPr="00296E53">
        <w:rPr>
          <w:rFonts w:ascii="Century Gothic" w:hAnsi="Century Gothic" w:cstheme="minorHAnsi"/>
          <w:noProof/>
          <w:sz w:val="19"/>
          <w:szCs w:val="19"/>
          <w:lang w:eastAsia="es-MX"/>
        </w:rPr>
        <w:drawing>
          <wp:inline distT="0" distB="0" distL="0" distR="0" wp14:anchorId="18C40615" wp14:editId="332A1604">
            <wp:extent cx="8615045" cy="4114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NR_mayor_1.PNG"/>
                    <pic:cNvPicPr/>
                  </pic:nvPicPr>
                  <pic:blipFill>
                    <a:blip r:embed="rId38">
                      <a:extLst>
                        <a:ext uri="{28A0092B-C50C-407E-A947-70E740481C1C}">
                          <a14:useLocalDpi xmlns:a14="http://schemas.microsoft.com/office/drawing/2010/main" val="0"/>
                        </a:ext>
                      </a:extLst>
                    </a:blip>
                    <a:stretch>
                      <a:fillRect/>
                    </a:stretch>
                  </pic:blipFill>
                  <pic:spPr>
                    <a:xfrm>
                      <a:off x="0" y="0"/>
                      <a:ext cx="8664613" cy="4138475"/>
                    </a:xfrm>
                    <a:prstGeom prst="rect">
                      <a:avLst/>
                    </a:prstGeom>
                  </pic:spPr>
                </pic:pic>
              </a:graphicData>
            </a:graphic>
          </wp:inline>
        </w:drawing>
      </w:r>
    </w:p>
    <w:p w14:paraId="37A5B515" w14:textId="77777777" w:rsidR="00BF54EA" w:rsidRPr="00296E53" w:rsidRDefault="00BF54EA">
      <w:pPr>
        <w:rPr>
          <w:rFonts w:ascii="Century Gothic" w:hAnsi="Century Gothic" w:cstheme="minorHAnsi"/>
          <w:sz w:val="19"/>
          <w:szCs w:val="19"/>
        </w:rPr>
      </w:pPr>
      <w:r w:rsidRPr="00296E53">
        <w:rPr>
          <w:rFonts w:ascii="Century Gothic" w:hAnsi="Century Gothic" w:cstheme="minorHAnsi"/>
          <w:sz w:val="19"/>
          <w:szCs w:val="19"/>
        </w:rPr>
        <w:br w:type="page"/>
      </w:r>
    </w:p>
    <w:p w14:paraId="6B20A6B1" w14:textId="77777777" w:rsidR="004903C2" w:rsidRPr="00296E53" w:rsidRDefault="004903C2">
      <w:pPr>
        <w:rPr>
          <w:rFonts w:ascii="Century Gothic" w:hAnsi="Century Gothic" w:cstheme="minorHAnsi"/>
          <w:sz w:val="19"/>
          <w:szCs w:val="19"/>
        </w:rPr>
      </w:pPr>
    </w:p>
    <w:p w14:paraId="5EA7B9C1" w14:textId="77777777" w:rsidR="004C07A2" w:rsidRPr="00296E53" w:rsidRDefault="004C07A2" w:rsidP="004C07A2">
      <w:pPr>
        <w:jc w:val="center"/>
        <w:rPr>
          <w:rFonts w:ascii="Century Gothic" w:hAnsi="Century Gothic" w:cstheme="majorHAnsi"/>
          <w:b/>
          <w:sz w:val="19"/>
          <w:szCs w:val="19"/>
        </w:rPr>
      </w:pPr>
      <w:r w:rsidRPr="00296E53">
        <w:rPr>
          <w:rFonts w:ascii="Century Gothic" w:hAnsi="Century Gothic" w:cstheme="majorHAnsi"/>
          <w:b/>
          <w:sz w:val="19"/>
          <w:szCs w:val="19"/>
        </w:rPr>
        <w:t>A.6.10. Distribución de las Tasas de No respuesta con observaciones menores al 15% (escala 0 – 20)</w:t>
      </w:r>
    </w:p>
    <w:p w14:paraId="638DF8DA" w14:textId="77777777" w:rsidR="004C07A2" w:rsidRPr="00296E53" w:rsidRDefault="004C07A2" w:rsidP="004C07A2">
      <w:pPr>
        <w:jc w:val="center"/>
        <w:rPr>
          <w:rFonts w:ascii="Century Gothic" w:hAnsi="Century Gothic" w:cstheme="majorHAnsi"/>
          <w:b/>
          <w:sz w:val="19"/>
          <w:szCs w:val="19"/>
        </w:rPr>
      </w:pPr>
      <w:r w:rsidRPr="00296E53">
        <w:rPr>
          <w:rFonts w:ascii="Century Gothic" w:hAnsi="Century Gothic" w:cstheme="majorHAnsi"/>
          <w:b/>
          <w:noProof/>
          <w:sz w:val="19"/>
          <w:szCs w:val="19"/>
          <w:lang w:eastAsia="es-MX"/>
        </w:rPr>
        <w:drawing>
          <wp:inline distT="0" distB="0" distL="0" distR="0" wp14:anchorId="709B6EBE" wp14:editId="15F46051">
            <wp:extent cx="9001080" cy="348878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NR_AI_menor_20_1.PNG"/>
                    <pic:cNvPicPr/>
                  </pic:nvPicPr>
                  <pic:blipFill>
                    <a:blip r:embed="rId39">
                      <a:extLst>
                        <a:ext uri="{28A0092B-C50C-407E-A947-70E740481C1C}">
                          <a14:useLocalDpi xmlns:a14="http://schemas.microsoft.com/office/drawing/2010/main" val="0"/>
                        </a:ext>
                      </a:extLst>
                    </a:blip>
                    <a:stretch>
                      <a:fillRect/>
                    </a:stretch>
                  </pic:blipFill>
                  <pic:spPr>
                    <a:xfrm>
                      <a:off x="0" y="0"/>
                      <a:ext cx="9067525" cy="3514542"/>
                    </a:xfrm>
                    <a:prstGeom prst="rect">
                      <a:avLst/>
                    </a:prstGeom>
                  </pic:spPr>
                </pic:pic>
              </a:graphicData>
            </a:graphic>
          </wp:inline>
        </w:drawing>
      </w:r>
    </w:p>
    <w:p w14:paraId="5890B7EF" w14:textId="77777777" w:rsidR="004C07A2" w:rsidRPr="00296E53" w:rsidRDefault="004C07A2">
      <w:pPr>
        <w:rPr>
          <w:rFonts w:ascii="Century Gothic" w:hAnsi="Century Gothic" w:cstheme="minorHAnsi"/>
          <w:sz w:val="19"/>
          <w:szCs w:val="19"/>
        </w:rPr>
      </w:pPr>
    </w:p>
    <w:p w14:paraId="42ED2583" w14:textId="77777777" w:rsidR="00A81ED6" w:rsidRPr="00296E53" w:rsidRDefault="00A81ED6" w:rsidP="00A81ED6">
      <w:pPr>
        <w:jc w:val="center"/>
        <w:rPr>
          <w:rFonts w:ascii="Century Gothic" w:hAnsi="Century Gothic" w:cstheme="minorHAnsi"/>
          <w:sz w:val="19"/>
          <w:szCs w:val="19"/>
        </w:rPr>
      </w:pPr>
      <w:r w:rsidRPr="00296E53">
        <w:rPr>
          <w:rFonts w:ascii="Century Gothic" w:hAnsi="Century Gothic" w:cstheme="majorHAnsi"/>
          <w:b/>
          <w:noProof/>
          <w:sz w:val="19"/>
          <w:szCs w:val="19"/>
          <w:lang w:eastAsia="es-MX"/>
        </w:rPr>
        <w:drawing>
          <wp:inline distT="0" distB="0" distL="0" distR="0" wp14:anchorId="5B1FCF7A" wp14:editId="6E67632B">
            <wp:extent cx="3467100" cy="3059723"/>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NR_AI_menor_20_2.PNG"/>
                    <pic:cNvPicPr/>
                  </pic:nvPicPr>
                  <pic:blipFill>
                    <a:blip r:embed="rId40">
                      <a:extLst>
                        <a:ext uri="{28A0092B-C50C-407E-A947-70E740481C1C}">
                          <a14:useLocalDpi xmlns:a14="http://schemas.microsoft.com/office/drawing/2010/main" val="0"/>
                        </a:ext>
                      </a:extLst>
                    </a:blip>
                    <a:stretch>
                      <a:fillRect/>
                    </a:stretch>
                  </pic:blipFill>
                  <pic:spPr>
                    <a:xfrm>
                      <a:off x="0" y="0"/>
                      <a:ext cx="3559515" cy="3141280"/>
                    </a:xfrm>
                    <a:prstGeom prst="rect">
                      <a:avLst/>
                    </a:prstGeom>
                  </pic:spPr>
                </pic:pic>
              </a:graphicData>
            </a:graphic>
          </wp:inline>
        </w:drawing>
      </w:r>
    </w:p>
    <w:p w14:paraId="1EC4FCB1" w14:textId="77777777" w:rsidR="00A81ED6" w:rsidRPr="00296E53" w:rsidRDefault="00A81ED6" w:rsidP="00A81ED6">
      <w:pPr>
        <w:spacing w:before="240"/>
        <w:jc w:val="both"/>
        <w:rPr>
          <w:rFonts w:ascii="Century Gothic" w:hAnsi="Century Gothic" w:cstheme="minorHAnsi"/>
          <w:b/>
          <w:sz w:val="19"/>
          <w:szCs w:val="19"/>
        </w:rPr>
      </w:pPr>
      <w:r w:rsidRPr="00296E53">
        <w:rPr>
          <w:rFonts w:ascii="Century Gothic" w:hAnsi="Century Gothic" w:cstheme="minorHAnsi"/>
          <w:b/>
          <w:sz w:val="19"/>
          <w:szCs w:val="19"/>
        </w:rPr>
        <w:t>CONCLUSIONES</w:t>
      </w:r>
    </w:p>
    <w:p w14:paraId="061ECD93" w14:textId="6F7BC5B1" w:rsidR="00A81ED6" w:rsidRPr="00296E53" w:rsidRDefault="00A81ED6" w:rsidP="00A81ED6">
      <w:pPr>
        <w:pStyle w:val="Prrafodelista"/>
        <w:numPr>
          <w:ilvl w:val="0"/>
          <w:numId w:val="14"/>
        </w:numPr>
        <w:spacing w:before="240"/>
        <w:jc w:val="both"/>
        <w:rPr>
          <w:rFonts w:ascii="Century Gothic" w:hAnsi="Century Gothic" w:cstheme="minorHAnsi"/>
          <w:sz w:val="19"/>
          <w:szCs w:val="19"/>
        </w:rPr>
      </w:pPr>
      <w:r w:rsidRPr="00296E53">
        <w:rPr>
          <w:rFonts w:ascii="Century Gothic" w:hAnsi="Century Gothic" w:cstheme="minorHAnsi"/>
          <w:sz w:val="19"/>
          <w:szCs w:val="19"/>
        </w:rPr>
        <w:t xml:space="preserve">Es necesario determinar el grado de madurez del BIARE, ya que no se reportaron IPE correspondientes al primer </w:t>
      </w:r>
      <w:r w:rsidR="003B129A" w:rsidRPr="00296E53">
        <w:rPr>
          <w:rFonts w:ascii="Century Gothic" w:hAnsi="Century Gothic" w:cstheme="minorHAnsi"/>
          <w:sz w:val="19"/>
          <w:szCs w:val="19"/>
        </w:rPr>
        <w:t>semestre</w:t>
      </w:r>
      <w:r w:rsidRPr="00296E53">
        <w:rPr>
          <w:rFonts w:ascii="Century Gothic" w:hAnsi="Century Gothic" w:cstheme="minorHAnsi"/>
          <w:sz w:val="19"/>
          <w:szCs w:val="19"/>
        </w:rPr>
        <w:t xml:space="preserve"> 2020, cuyos resultados se publicaron en el apartado inegi.org.mx/Investigación/Biene</w:t>
      </w:r>
      <w:r w:rsidR="00915E45" w:rsidRPr="00296E53">
        <w:rPr>
          <w:rFonts w:ascii="Century Gothic" w:hAnsi="Century Gothic" w:cstheme="minorHAnsi"/>
          <w:sz w:val="19"/>
          <w:szCs w:val="19"/>
        </w:rPr>
        <w:t>s</w:t>
      </w:r>
      <w:r w:rsidRPr="00296E53">
        <w:rPr>
          <w:rFonts w:ascii="Century Gothic" w:hAnsi="Century Gothic" w:cstheme="minorHAnsi"/>
          <w:sz w:val="19"/>
          <w:szCs w:val="19"/>
        </w:rPr>
        <w:t>tar subjetivo/Básico/#Tabulados con referencia al periodo enero 2020.</w:t>
      </w:r>
    </w:p>
    <w:p w14:paraId="66C12783" w14:textId="77777777" w:rsidR="009204B6" w:rsidRPr="00296E53" w:rsidRDefault="009204B6" w:rsidP="009204B6">
      <w:pPr>
        <w:pStyle w:val="Prrafodelista"/>
        <w:spacing w:before="240"/>
        <w:jc w:val="both"/>
        <w:rPr>
          <w:rFonts w:ascii="Century Gothic" w:hAnsi="Century Gothic" w:cstheme="minorHAnsi"/>
          <w:sz w:val="19"/>
          <w:szCs w:val="19"/>
        </w:rPr>
      </w:pPr>
    </w:p>
    <w:p w14:paraId="1B15C5C0" w14:textId="1EEA2F0D" w:rsidR="00A81ED6" w:rsidRPr="00296E53" w:rsidRDefault="00A81ED6" w:rsidP="00A81ED6">
      <w:pPr>
        <w:pStyle w:val="Prrafodelista"/>
        <w:numPr>
          <w:ilvl w:val="0"/>
          <w:numId w:val="14"/>
        </w:numPr>
        <w:spacing w:before="240"/>
        <w:jc w:val="both"/>
        <w:rPr>
          <w:rFonts w:ascii="Century Gothic" w:hAnsi="Century Gothic" w:cstheme="minorHAnsi"/>
          <w:sz w:val="19"/>
          <w:szCs w:val="19"/>
        </w:rPr>
      </w:pPr>
      <w:r w:rsidRPr="00296E53">
        <w:rPr>
          <w:rFonts w:ascii="Century Gothic" w:hAnsi="Century Gothic" w:cstheme="minorHAnsi"/>
          <w:sz w:val="19"/>
          <w:szCs w:val="19"/>
        </w:rPr>
        <w:t>Es importante que la</w:t>
      </w:r>
      <w:r w:rsidR="009A742F" w:rsidRPr="00296E53">
        <w:rPr>
          <w:rFonts w:ascii="Century Gothic" w:hAnsi="Century Gothic" w:cstheme="minorHAnsi"/>
          <w:sz w:val="19"/>
          <w:szCs w:val="19"/>
        </w:rPr>
        <w:t>s</w:t>
      </w:r>
      <w:r w:rsidRPr="00296E53">
        <w:rPr>
          <w:rFonts w:ascii="Century Gothic" w:hAnsi="Century Gothic" w:cstheme="minorHAnsi"/>
          <w:sz w:val="19"/>
          <w:szCs w:val="19"/>
        </w:rPr>
        <w:t xml:space="preserve"> Encuesta</w:t>
      </w:r>
      <w:r w:rsidR="009A742F" w:rsidRPr="00296E53">
        <w:rPr>
          <w:rFonts w:ascii="Century Gothic" w:hAnsi="Century Gothic" w:cstheme="minorHAnsi"/>
          <w:sz w:val="19"/>
          <w:szCs w:val="19"/>
        </w:rPr>
        <w:t>s</w:t>
      </w:r>
      <w:r w:rsidRPr="00296E53">
        <w:rPr>
          <w:rFonts w:ascii="Century Gothic" w:hAnsi="Century Gothic" w:cstheme="minorHAnsi"/>
          <w:sz w:val="19"/>
          <w:szCs w:val="19"/>
        </w:rPr>
        <w:t xml:space="preserve"> de Viajeros Internacionales (EVI), de la cu</w:t>
      </w:r>
      <w:r w:rsidR="007A135A" w:rsidRPr="00296E53">
        <w:rPr>
          <w:rFonts w:ascii="Century Gothic" w:hAnsi="Century Gothic" w:cstheme="minorHAnsi"/>
          <w:sz w:val="19"/>
          <w:szCs w:val="19"/>
        </w:rPr>
        <w:t>a</w:t>
      </w:r>
      <w:r w:rsidRPr="00296E53">
        <w:rPr>
          <w:rFonts w:ascii="Century Gothic" w:hAnsi="Century Gothic" w:cstheme="minorHAnsi"/>
          <w:sz w:val="19"/>
          <w:szCs w:val="19"/>
        </w:rPr>
        <w:t xml:space="preserve">l se desprenden la Encuesta de Turismo Internacional y la Encuesta de Viajeros Fronterizos, reporten metadatos e </w:t>
      </w:r>
      <w:r w:rsidR="009A742F" w:rsidRPr="00296E53">
        <w:rPr>
          <w:rFonts w:ascii="Century Gothic" w:hAnsi="Century Gothic" w:cstheme="minorHAnsi"/>
          <w:sz w:val="19"/>
          <w:szCs w:val="19"/>
        </w:rPr>
        <w:t>indicadores de precisión estadística</w:t>
      </w:r>
      <w:r w:rsidR="00B726A1" w:rsidRPr="00296E53">
        <w:rPr>
          <w:rFonts w:ascii="Century Gothic" w:hAnsi="Century Gothic" w:cstheme="minorHAnsi"/>
          <w:sz w:val="19"/>
          <w:szCs w:val="19"/>
        </w:rPr>
        <w:t xml:space="preserve">.  Actualmente </w:t>
      </w:r>
      <w:r w:rsidR="00632A6E" w:rsidRPr="00296E53">
        <w:rPr>
          <w:rFonts w:ascii="Century Gothic" w:hAnsi="Century Gothic" w:cstheme="minorHAnsi"/>
          <w:sz w:val="19"/>
          <w:szCs w:val="19"/>
        </w:rPr>
        <w:t>se está realizando la actualización metodológica de este programa para estar en posibilidad de reportar estos indicadores.</w:t>
      </w:r>
    </w:p>
    <w:p w14:paraId="2D502593" w14:textId="77777777" w:rsidR="00A81ED6" w:rsidRPr="00296E53" w:rsidRDefault="00A81ED6" w:rsidP="00A81ED6">
      <w:pPr>
        <w:pStyle w:val="Prrafodelista"/>
        <w:spacing w:before="240"/>
        <w:jc w:val="both"/>
        <w:rPr>
          <w:rFonts w:ascii="Century Gothic" w:hAnsi="Century Gothic" w:cstheme="minorHAnsi"/>
          <w:sz w:val="19"/>
          <w:szCs w:val="19"/>
        </w:rPr>
      </w:pPr>
    </w:p>
    <w:p w14:paraId="76BE5589" w14:textId="77777777" w:rsidR="00A81ED6" w:rsidRPr="00296E53" w:rsidRDefault="00A81ED6" w:rsidP="00A81ED6">
      <w:pPr>
        <w:pStyle w:val="Prrafodelista"/>
        <w:numPr>
          <w:ilvl w:val="0"/>
          <w:numId w:val="14"/>
        </w:numPr>
        <w:spacing w:before="240"/>
        <w:jc w:val="both"/>
        <w:rPr>
          <w:rFonts w:ascii="Century Gothic" w:hAnsi="Century Gothic" w:cstheme="minorHAnsi"/>
          <w:sz w:val="19"/>
          <w:szCs w:val="19"/>
        </w:rPr>
      </w:pPr>
      <w:r w:rsidRPr="00296E53">
        <w:rPr>
          <w:rFonts w:ascii="Century Gothic" w:hAnsi="Century Gothic" w:cstheme="minorHAnsi"/>
          <w:sz w:val="19"/>
          <w:szCs w:val="19"/>
        </w:rPr>
        <w:t>Es necesario continuar los esfuerzos para que se reporten estos indicadores en los plazos y formatos acordados con el fin de facilitar su uso e interpretación.</w:t>
      </w:r>
    </w:p>
    <w:p w14:paraId="7EE46080" w14:textId="77777777" w:rsidR="00A81ED6" w:rsidRPr="00296E53" w:rsidRDefault="00A81ED6" w:rsidP="00A81ED6">
      <w:pPr>
        <w:pStyle w:val="Prrafodelista"/>
        <w:spacing w:before="240"/>
        <w:jc w:val="both"/>
        <w:rPr>
          <w:rFonts w:ascii="Century Gothic" w:hAnsi="Century Gothic" w:cstheme="minorHAnsi"/>
          <w:sz w:val="19"/>
          <w:szCs w:val="19"/>
        </w:rPr>
      </w:pPr>
    </w:p>
    <w:p w14:paraId="1A5718E5" w14:textId="77777777" w:rsidR="00A81ED6" w:rsidRPr="00296E53" w:rsidRDefault="00A81ED6" w:rsidP="00A81ED6">
      <w:pPr>
        <w:pStyle w:val="Prrafodelista"/>
        <w:numPr>
          <w:ilvl w:val="0"/>
          <w:numId w:val="14"/>
        </w:numPr>
        <w:spacing w:before="240"/>
        <w:jc w:val="both"/>
        <w:rPr>
          <w:rFonts w:ascii="Century Gothic" w:hAnsi="Century Gothic" w:cstheme="minorHAnsi"/>
          <w:sz w:val="19"/>
          <w:szCs w:val="19"/>
        </w:rPr>
      </w:pPr>
      <w:r w:rsidRPr="00296E53">
        <w:rPr>
          <w:rFonts w:ascii="Century Gothic" w:hAnsi="Century Gothic" w:cstheme="minorHAnsi"/>
          <w:sz w:val="19"/>
          <w:szCs w:val="19"/>
        </w:rPr>
        <w:t>Se observa, de manera general, una estabilidad en los Coeficientes de Variación de los programas de información en hogares; y una ligera disminución de precisión en los programas de información en unidades económicas (EMS y ENEC)</w:t>
      </w:r>
      <w:r w:rsidR="007A135A" w:rsidRPr="00296E53">
        <w:rPr>
          <w:rFonts w:ascii="Century Gothic" w:hAnsi="Century Gothic" w:cstheme="minorHAnsi"/>
          <w:sz w:val="19"/>
          <w:szCs w:val="19"/>
        </w:rPr>
        <w:t>.</w:t>
      </w:r>
    </w:p>
    <w:p w14:paraId="1A62CF8D" w14:textId="77777777" w:rsidR="00A81ED6" w:rsidRPr="00296E53" w:rsidRDefault="00A81ED6" w:rsidP="00A81ED6">
      <w:pPr>
        <w:pStyle w:val="Prrafodelista"/>
        <w:rPr>
          <w:rFonts w:ascii="Century Gothic" w:hAnsi="Century Gothic" w:cstheme="minorHAnsi"/>
          <w:sz w:val="19"/>
          <w:szCs w:val="19"/>
        </w:rPr>
      </w:pPr>
    </w:p>
    <w:p w14:paraId="5BC11D34" w14:textId="77777777" w:rsidR="00A81ED6" w:rsidRPr="00296E53" w:rsidRDefault="00A81ED6" w:rsidP="00A81ED6">
      <w:pPr>
        <w:pStyle w:val="Prrafodelista"/>
        <w:numPr>
          <w:ilvl w:val="0"/>
          <w:numId w:val="14"/>
        </w:numPr>
        <w:spacing w:before="240"/>
        <w:jc w:val="both"/>
        <w:rPr>
          <w:rFonts w:ascii="Century Gothic" w:hAnsi="Century Gothic"/>
          <w:sz w:val="19"/>
          <w:szCs w:val="19"/>
        </w:rPr>
      </w:pPr>
      <w:r w:rsidRPr="00296E53">
        <w:rPr>
          <w:rFonts w:ascii="Century Gothic" w:hAnsi="Century Gothic" w:cstheme="minorHAnsi"/>
          <w:sz w:val="19"/>
          <w:szCs w:val="19"/>
        </w:rPr>
        <w:t>La tasa de no respuesta máxima esperada del diseño muestral varía según el tipo de encuesta, sin embargo, en algunos casos se observan tasas de no respuesta superiores. En cada caso debe realizarse un análisis de las causas que lo originan.</w:t>
      </w:r>
    </w:p>
    <w:p w14:paraId="1A8A2A96" w14:textId="77777777" w:rsidR="00A81ED6" w:rsidRPr="00296E53" w:rsidRDefault="00A81ED6" w:rsidP="00A81ED6">
      <w:pPr>
        <w:pStyle w:val="Prrafodelista"/>
        <w:rPr>
          <w:rFonts w:ascii="Century Gothic" w:hAnsi="Century Gothic"/>
          <w:sz w:val="19"/>
          <w:szCs w:val="19"/>
        </w:rPr>
      </w:pPr>
    </w:p>
    <w:p w14:paraId="4190760A" w14:textId="77777777" w:rsidR="002F67BD" w:rsidRPr="00296E53" w:rsidRDefault="002F67BD">
      <w:pPr>
        <w:rPr>
          <w:rFonts w:ascii="Century Gothic" w:hAnsi="Century Gothic"/>
          <w:sz w:val="19"/>
          <w:szCs w:val="19"/>
        </w:rPr>
      </w:pPr>
      <w:r w:rsidRPr="00296E53">
        <w:rPr>
          <w:rFonts w:ascii="Century Gothic" w:hAnsi="Century Gothic"/>
          <w:sz w:val="19"/>
          <w:szCs w:val="19"/>
        </w:rPr>
        <w:br w:type="page"/>
      </w:r>
    </w:p>
    <w:p w14:paraId="5E0D244A" w14:textId="77777777" w:rsidR="00762C77" w:rsidRPr="00296E53" w:rsidRDefault="00762C77" w:rsidP="00762C77">
      <w:pPr>
        <w:spacing w:after="0"/>
        <w:jc w:val="right"/>
        <w:rPr>
          <w:rFonts w:ascii="Century Gothic" w:hAnsi="Century Gothic"/>
        </w:rPr>
      </w:pPr>
      <w:r w:rsidRPr="00296E53">
        <w:rPr>
          <w:rFonts w:cstheme="minorHAnsi"/>
          <w:color w:val="0079BF"/>
          <w:sz w:val="36"/>
          <w:szCs w:val="144"/>
        </w:rPr>
        <w:t>A</w:t>
      </w:r>
      <w:r w:rsidR="008309A3" w:rsidRPr="00296E53">
        <w:rPr>
          <w:rFonts w:cstheme="minorHAnsi"/>
          <w:color w:val="0079BF"/>
          <w:sz w:val="36"/>
          <w:szCs w:val="144"/>
        </w:rPr>
        <w:t>NEXO 7</w:t>
      </w:r>
    </w:p>
    <w:tbl>
      <w:tblPr>
        <w:tblW w:w="16307" w:type="dxa"/>
        <w:tblInd w:w="-1139" w:type="dxa"/>
        <w:tblLook w:val="04A0" w:firstRow="1" w:lastRow="0" w:firstColumn="1" w:lastColumn="0" w:noHBand="0" w:noVBand="1"/>
      </w:tblPr>
      <w:tblGrid>
        <w:gridCol w:w="7518"/>
        <w:gridCol w:w="8789"/>
      </w:tblGrid>
      <w:tr w:rsidR="00762C77" w:rsidRPr="00296E53" w14:paraId="1830A50F" w14:textId="77777777" w:rsidTr="00CA5FDA">
        <w:trPr>
          <w:trHeight w:val="201"/>
        </w:trPr>
        <w:tc>
          <w:tcPr>
            <w:tcW w:w="7518" w:type="dxa"/>
            <w:shd w:val="clear" w:color="auto" w:fill="1F3864" w:themeFill="accent5" w:themeFillShade="80"/>
          </w:tcPr>
          <w:p w14:paraId="39360FBD" w14:textId="77777777" w:rsidR="00762C77" w:rsidRPr="00296E53" w:rsidRDefault="00762C77" w:rsidP="00CA5FDA">
            <w:pPr>
              <w:rPr>
                <w:rFonts w:cstheme="minorHAnsi"/>
                <w:color w:val="FFFFFF" w:themeColor="background1"/>
                <w:sz w:val="2"/>
                <w:szCs w:val="18"/>
              </w:rPr>
            </w:pPr>
          </w:p>
        </w:tc>
        <w:tc>
          <w:tcPr>
            <w:tcW w:w="8789" w:type="dxa"/>
            <w:shd w:val="clear" w:color="auto" w:fill="auto"/>
          </w:tcPr>
          <w:p w14:paraId="6A068BDE" w14:textId="77777777" w:rsidR="00762C77" w:rsidRPr="00296E53" w:rsidRDefault="00762C77" w:rsidP="00CA5FDA">
            <w:pPr>
              <w:rPr>
                <w:rFonts w:cstheme="minorHAnsi"/>
                <w:color w:val="FFFFFF" w:themeColor="background1"/>
                <w:sz w:val="2"/>
                <w:szCs w:val="18"/>
              </w:rPr>
            </w:pPr>
          </w:p>
        </w:tc>
      </w:tr>
      <w:tr w:rsidR="00762C77" w:rsidRPr="00296E53" w14:paraId="414C9B85" w14:textId="77777777" w:rsidTr="00CA5FDA">
        <w:trPr>
          <w:trHeight w:val="201"/>
        </w:trPr>
        <w:tc>
          <w:tcPr>
            <w:tcW w:w="7518" w:type="dxa"/>
            <w:shd w:val="clear" w:color="auto" w:fill="0079BF"/>
          </w:tcPr>
          <w:p w14:paraId="1D38E906" w14:textId="77777777" w:rsidR="00762C77" w:rsidRPr="00296E53" w:rsidRDefault="00762C77" w:rsidP="00CA5FDA">
            <w:pPr>
              <w:rPr>
                <w:rFonts w:cstheme="minorHAnsi"/>
                <w:color w:val="FFFFFF" w:themeColor="background1"/>
                <w:sz w:val="2"/>
                <w:szCs w:val="18"/>
              </w:rPr>
            </w:pPr>
          </w:p>
        </w:tc>
        <w:tc>
          <w:tcPr>
            <w:tcW w:w="8789" w:type="dxa"/>
            <w:shd w:val="clear" w:color="auto" w:fill="0079BF"/>
          </w:tcPr>
          <w:p w14:paraId="2B5043FA" w14:textId="77777777" w:rsidR="00762C77" w:rsidRPr="00296E53" w:rsidRDefault="00762C77" w:rsidP="00CA5FDA">
            <w:pPr>
              <w:rPr>
                <w:rFonts w:cstheme="minorHAnsi"/>
                <w:color w:val="FFFFFF" w:themeColor="background1"/>
                <w:sz w:val="2"/>
                <w:szCs w:val="18"/>
              </w:rPr>
            </w:pPr>
          </w:p>
        </w:tc>
      </w:tr>
    </w:tbl>
    <w:p w14:paraId="32F72505" w14:textId="77777777" w:rsidR="00762C77" w:rsidRPr="00296E53" w:rsidRDefault="00762C77" w:rsidP="00E61E5D">
      <w:pPr>
        <w:spacing w:after="120"/>
        <w:rPr>
          <w:rFonts w:ascii="Century Gothic" w:hAnsi="Century Gothic"/>
          <w:sz w:val="19"/>
          <w:szCs w:val="19"/>
        </w:rPr>
      </w:pPr>
    </w:p>
    <w:p w14:paraId="4E53F347" w14:textId="77777777" w:rsidR="002F67BD" w:rsidRPr="00296E53" w:rsidRDefault="008309A3" w:rsidP="008309A3">
      <w:pPr>
        <w:pStyle w:val="Ttulo1"/>
        <w:rPr>
          <w:rFonts w:ascii="Century Gothic" w:eastAsiaTheme="minorHAnsi" w:hAnsi="Century Gothic" w:cstheme="minorBidi"/>
          <w:b/>
          <w:color w:val="auto"/>
          <w:sz w:val="22"/>
          <w:szCs w:val="22"/>
        </w:rPr>
      </w:pPr>
      <w:bookmarkStart w:id="27" w:name="_Toc65502234"/>
      <w:r w:rsidRPr="00296E53">
        <w:rPr>
          <w:rFonts w:ascii="Century Gothic" w:eastAsiaTheme="minorHAnsi" w:hAnsi="Century Gothic" w:cstheme="minorBidi"/>
          <w:b/>
          <w:color w:val="auto"/>
          <w:sz w:val="22"/>
          <w:szCs w:val="22"/>
        </w:rPr>
        <w:t xml:space="preserve">Anexo 7: </w:t>
      </w:r>
      <w:r w:rsidR="002F67BD" w:rsidRPr="00296E53">
        <w:rPr>
          <w:rFonts w:ascii="Century Gothic" w:eastAsiaTheme="minorHAnsi" w:hAnsi="Century Gothic" w:cstheme="minorBidi"/>
          <w:b/>
          <w:color w:val="auto"/>
          <w:sz w:val="22"/>
          <w:szCs w:val="22"/>
        </w:rPr>
        <w:t>Seguimiento a la implementación del sistema de evidencias P-Tracking</w:t>
      </w:r>
      <w:bookmarkEnd w:id="27"/>
    </w:p>
    <w:p w14:paraId="05A8C90F" w14:textId="77777777" w:rsidR="002F67BD" w:rsidRPr="00296E53" w:rsidRDefault="002F67BD" w:rsidP="002F67BD">
      <w:pPr>
        <w:spacing w:before="240"/>
        <w:jc w:val="both"/>
        <w:rPr>
          <w:rFonts w:ascii="Century Gothic" w:hAnsi="Century Gothic"/>
          <w:sz w:val="19"/>
          <w:szCs w:val="19"/>
        </w:rPr>
      </w:pPr>
      <w:r w:rsidRPr="00296E53">
        <w:rPr>
          <w:rFonts w:ascii="Century Gothic" w:hAnsi="Century Gothic"/>
          <w:sz w:val="19"/>
          <w:szCs w:val="19"/>
        </w:rPr>
        <w:t xml:space="preserve">La Norma Técnica del Proceso de Producción de Información Estadística y Geográfica para el INEGI (Norma MPEG) publicada en 2018 obliga a que el 100% de los programas de información estadística y geográfica del INEGI, incluyendo los de Información de Interés Nacional realicen y documenten sus actividades de forma estandarizada. En 2019 se desarrolló un sistema para almacenar las evidencias establecidas en la Norma MPEG y en 2020 </w:t>
      </w:r>
      <w:bookmarkStart w:id="28" w:name="_Hlk62027530"/>
      <w:r w:rsidRPr="00296E53">
        <w:rPr>
          <w:rFonts w:ascii="Century Gothic" w:hAnsi="Century Gothic"/>
          <w:sz w:val="19"/>
          <w:szCs w:val="19"/>
        </w:rPr>
        <w:t>se inició la carga de evidencias para los 97 programas de información que desarrollaron alguna fase del proceso desde el inicio de la vigencia de la Norma MPEG.</w:t>
      </w:r>
      <w:bookmarkEnd w:id="28"/>
    </w:p>
    <w:p w14:paraId="3735E4E5" w14:textId="77777777" w:rsidR="002F67BD" w:rsidRPr="00296E53" w:rsidRDefault="002F67BD" w:rsidP="002F67BD">
      <w:pPr>
        <w:spacing w:before="240"/>
        <w:jc w:val="both"/>
        <w:rPr>
          <w:rFonts w:ascii="Century Gothic" w:hAnsi="Century Gothic"/>
          <w:sz w:val="19"/>
          <w:szCs w:val="19"/>
        </w:rPr>
      </w:pPr>
      <w:r w:rsidRPr="00296E53">
        <w:rPr>
          <w:rFonts w:ascii="Century Gothic" w:hAnsi="Century Gothic"/>
          <w:sz w:val="19"/>
          <w:szCs w:val="19"/>
        </w:rPr>
        <w:t>Dicha Norma está basada en el Modelo Genérico del Proceso Estadístico (GSBPM, por sus siglas en inglés) desarrollado por la Comisión Económica de las Naciones Unidas para Europa (UNECE). Este modelo establece las fases del proceso a través de las cuales se transforman los datos estadísticos y geográficos en información relevante para los usuarios.  De esta forma, la Norma MPEG describe las actividades y evidencias para las 8 fases del proceso.</w:t>
      </w:r>
    </w:p>
    <w:p w14:paraId="299AF19F" w14:textId="77777777" w:rsidR="00415559" w:rsidRPr="00296E53" w:rsidRDefault="00415559" w:rsidP="002F67BD">
      <w:pPr>
        <w:spacing w:before="240"/>
        <w:jc w:val="both"/>
        <w:rPr>
          <w:rFonts w:ascii="Century Gothic" w:hAnsi="Century Gothic"/>
          <w:sz w:val="19"/>
          <w:szCs w:val="19"/>
        </w:rPr>
      </w:pPr>
    </w:p>
    <w:p w14:paraId="38341EBA" w14:textId="77777777" w:rsidR="00DF74A3" w:rsidRPr="00296E53" w:rsidRDefault="00DF74A3" w:rsidP="00DF74A3">
      <w:pPr>
        <w:jc w:val="center"/>
        <w:rPr>
          <w:rFonts w:ascii="Century Gothic" w:hAnsi="Century Gothic"/>
          <w:sz w:val="19"/>
          <w:szCs w:val="19"/>
        </w:rPr>
      </w:pPr>
      <w:r w:rsidRPr="00296E53">
        <w:rPr>
          <w:rFonts w:ascii="Century Gothic" w:hAnsi="Century Gothic" w:cstheme="majorHAnsi"/>
          <w:b/>
          <w:sz w:val="19"/>
          <w:szCs w:val="19"/>
        </w:rPr>
        <w:t>A.7.1. Fases del Proceso de Producción de Información Estadística y Geográfica</w:t>
      </w:r>
    </w:p>
    <w:p w14:paraId="428BA7BA" w14:textId="77777777" w:rsidR="002F67BD" w:rsidRPr="00296E53" w:rsidRDefault="002F67BD" w:rsidP="002F67BD">
      <w:pPr>
        <w:spacing w:before="240"/>
        <w:jc w:val="center"/>
        <w:rPr>
          <w:rFonts w:ascii="Century Gothic" w:hAnsi="Century Gothic"/>
          <w:sz w:val="19"/>
          <w:szCs w:val="19"/>
        </w:rPr>
      </w:pPr>
      <w:r w:rsidRPr="00296E53">
        <w:rPr>
          <w:noProof/>
          <w:lang w:eastAsia="es-MX"/>
        </w:rPr>
        <w:drawing>
          <wp:inline distT="0" distB="0" distL="0" distR="0" wp14:anchorId="0F545F63" wp14:editId="32DC08B2">
            <wp:extent cx="5419444" cy="129464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42849" cy="1300236"/>
                    </a:xfrm>
                    <a:prstGeom prst="rect">
                      <a:avLst/>
                    </a:prstGeom>
                    <a:noFill/>
                    <a:ln>
                      <a:noFill/>
                    </a:ln>
                  </pic:spPr>
                </pic:pic>
              </a:graphicData>
            </a:graphic>
          </wp:inline>
        </w:drawing>
      </w:r>
    </w:p>
    <w:p w14:paraId="02AE6277" w14:textId="39F8C1DF" w:rsidR="002F67BD" w:rsidRPr="00296E53" w:rsidRDefault="002F67BD" w:rsidP="002F67BD">
      <w:pPr>
        <w:spacing w:before="240"/>
        <w:jc w:val="both"/>
        <w:rPr>
          <w:rFonts w:ascii="Century Gothic" w:hAnsi="Century Gothic"/>
          <w:sz w:val="19"/>
          <w:szCs w:val="19"/>
        </w:rPr>
      </w:pPr>
      <w:r w:rsidRPr="00296E53">
        <w:rPr>
          <w:rFonts w:ascii="Century Gothic" w:hAnsi="Century Gothic"/>
          <w:sz w:val="19"/>
          <w:szCs w:val="19"/>
        </w:rPr>
        <w:t>El sistema de evidencias P-Tracking es un repositorio para las 42 evidencias que exige la Norma MPEG. Con el fin de no duplicar información, el sistema permite hacer referencia a otros sistemas del INEGI donde pueden estar depositadas las bases de datos. Cabe señalar que la Norma MPEG permite que cuando un entregable no sea adecuado para cierto tipo de programa de información se pueden realizar justificaciones de no evidencia</w:t>
      </w:r>
      <w:r w:rsidR="007A135A" w:rsidRPr="00296E53">
        <w:rPr>
          <w:rFonts w:ascii="Century Gothic" w:hAnsi="Century Gothic"/>
          <w:sz w:val="19"/>
          <w:szCs w:val="19"/>
        </w:rPr>
        <w:t>;</w:t>
      </w:r>
      <w:r w:rsidRPr="00296E53">
        <w:rPr>
          <w:rFonts w:ascii="Century Gothic" w:hAnsi="Century Gothic"/>
          <w:sz w:val="19"/>
          <w:szCs w:val="19"/>
        </w:rPr>
        <w:t xml:space="preserve"> sólo 6% de la documentación está en este caso.  </w:t>
      </w:r>
    </w:p>
    <w:p w14:paraId="7704252D" w14:textId="77777777" w:rsidR="002F67BD" w:rsidRPr="00296E53" w:rsidRDefault="002F67BD" w:rsidP="002F67BD">
      <w:pPr>
        <w:spacing w:before="240"/>
        <w:jc w:val="both"/>
        <w:rPr>
          <w:rFonts w:ascii="Century Gothic" w:hAnsi="Century Gothic"/>
          <w:sz w:val="19"/>
          <w:szCs w:val="19"/>
        </w:rPr>
      </w:pPr>
      <w:r w:rsidRPr="00296E53">
        <w:rPr>
          <w:rFonts w:ascii="Century Gothic" w:hAnsi="Century Gothic"/>
          <w:sz w:val="19"/>
          <w:szCs w:val="19"/>
        </w:rPr>
        <w:t xml:space="preserve">Como puede observarse en el siguiente gráfico, si bien el registro de evidencias comenzó desde enero de 2020, fue hasta agosto que se inició la carga masiva de evidencias.   </w:t>
      </w:r>
    </w:p>
    <w:p w14:paraId="75132728" w14:textId="77777777" w:rsidR="00415559" w:rsidRPr="00296E53" w:rsidRDefault="00415559">
      <w:pPr>
        <w:rPr>
          <w:rFonts w:ascii="Century Gothic" w:hAnsi="Century Gothic"/>
          <w:sz w:val="19"/>
          <w:szCs w:val="19"/>
        </w:rPr>
      </w:pPr>
      <w:r w:rsidRPr="00296E53">
        <w:rPr>
          <w:rFonts w:ascii="Century Gothic" w:hAnsi="Century Gothic"/>
          <w:sz w:val="19"/>
          <w:szCs w:val="19"/>
        </w:rPr>
        <w:br w:type="page"/>
      </w:r>
    </w:p>
    <w:p w14:paraId="7AD22B61" w14:textId="77777777" w:rsidR="001D5BE0" w:rsidRPr="00296E53" w:rsidRDefault="001D5BE0" w:rsidP="001D5BE0">
      <w:pPr>
        <w:jc w:val="center"/>
        <w:rPr>
          <w:rFonts w:ascii="Century Gothic" w:hAnsi="Century Gothic"/>
          <w:sz w:val="19"/>
          <w:szCs w:val="19"/>
        </w:rPr>
      </w:pPr>
      <w:r w:rsidRPr="00296E53">
        <w:rPr>
          <w:rFonts w:ascii="Century Gothic" w:hAnsi="Century Gothic" w:cstheme="majorHAnsi"/>
          <w:b/>
          <w:sz w:val="19"/>
          <w:szCs w:val="19"/>
        </w:rPr>
        <w:t>A.7.2. Avance mensual del registro de evidencias</w:t>
      </w:r>
    </w:p>
    <w:p w14:paraId="6BD72032" w14:textId="77777777" w:rsidR="002F67BD" w:rsidRPr="00296E53" w:rsidRDefault="002F67BD" w:rsidP="002F67BD">
      <w:pPr>
        <w:spacing w:before="240"/>
        <w:jc w:val="center"/>
        <w:rPr>
          <w:rFonts w:ascii="Century Gothic" w:hAnsi="Century Gothic"/>
          <w:sz w:val="19"/>
          <w:szCs w:val="19"/>
        </w:rPr>
      </w:pPr>
      <w:r w:rsidRPr="00296E53">
        <w:rPr>
          <w:noProof/>
          <w:lang w:eastAsia="es-MX"/>
        </w:rPr>
        <w:drawing>
          <wp:inline distT="0" distB="0" distL="0" distR="0" wp14:anchorId="3E466330" wp14:editId="2D581011">
            <wp:extent cx="4219646" cy="18499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7575" cy="1853378"/>
                    </a:xfrm>
                    <a:prstGeom prst="rect">
                      <a:avLst/>
                    </a:prstGeom>
                    <a:noFill/>
                    <a:ln>
                      <a:noFill/>
                    </a:ln>
                  </pic:spPr>
                </pic:pic>
              </a:graphicData>
            </a:graphic>
          </wp:inline>
        </w:drawing>
      </w:r>
    </w:p>
    <w:p w14:paraId="36FB1706" w14:textId="3F480C8F" w:rsidR="002F67BD" w:rsidRPr="00296E53" w:rsidRDefault="002F67BD" w:rsidP="002F67BD">
      <w:pPr>
        <w:spacing w:before="240"/>
        <w:jc w:val="both"/>
        <w:rPr>
          <w:rFonts w:ascii="Century Gothic" w:hAnsi="Century Gothic"/>
          <w:sz w:val="19"/>
          <w:szCs w:val="19"/>
        </w:rPr>
      </w:pPr>
      <w:r w:rsidRPr="00296E53">
        <w:rPr>
          <w:rFonts w:ascii="Century Gothic" w:hAnsi="Century Gothic"/>
          <w:sz w:val="19"/>
          <w:szCs w:val="19"/>
        </w:rPr>
        <w:t>A partir de este esfuerzo de las Unidades Administrativas, se concluyó el año con el registro de 443 ciclos en 97 programas de información.  El siguiente cuadro muestra el avance en el registro de evidencias por tipo de programa</w:t>
      </w:r>
      <w:r w:rsidR="007A135A" w:rsidRPr="00296E53">
        <w:rPr>
          <w:rFonts w:ascii="Century Gothic" w:hAnsi="Century Gothic"/>
          <w:sz w:val="19"/>
          <w:szCs w:val="19"/>
        </w:rPr>
        <w:t>.</w:t>
      </w:r>
      <w:r w:rsidRPr="00296E53">
        <w:rPr>
          <w:rFonts w:ascii="Century Gothic" w:hAnsi="Century Gothic"/>
          <w:sz w:val="19"/>
          <w:szCs w:val="19"/>
        </w:rPr>
        <w:t xml:space="preserve"> </w:t>
      </w:r>
      <w:r w:rsidR="007A135A" w:rsidRPr="00296E53">
        <w:rPr>
          <w:rFonts w:ascii="Century Gothic" w:hAnsi="Century Gothic"/>
          <w:sz w:val="19"/>
          <w:szCs w:val="19"/>
        </w:rPr>
        <w:t>C</w:t>
      </w:r>
      <w:r w:rsidRPr="00296E53">
        <w:rPr>
          <w:rFonts w:ascii="Century Gothic" w:hAnsi="Century Gothic"/>
          <w:sz w:val="19"/>
          <w:szCs w:val="19"/>
        </w:rPr>
        <w:t>abe señalar que como las fases pueden ejecutarse en distintos años fiscales, el avance sólo será del 100% cuando se hayan concluido todas las fases.  Actualmente, el sistema no se vincula con los sistemas de planeación, por lo que no se puede ver el avance respecto a la programación de actividades.  Por este motivo, las fases de planeación muestran un avance cercano al 100%, mientras que las fases de operación muestran un desfa</w:t>
      </w:r>
      <w:r w:rsidR="007A135A" w:rsidRPr="00296E53">
        <w:rPr>
          <w:rFonts w:ascii="Century Gothic" w:hAnsi="Century Gothic"/>
          <w:sz w:val="19"/>
          <w:szCs w:val="19"/>
        </w:rPr>
        <w:t>s</w:t>
      </w:r>
      <w:r w:rsidRPr="00296E53">
        <w:rPr>
          <w:rFonts w:ascii="Century Gothic" w:hAnsi="Century Gothic"/>
          <w:sz w:val="19"/>
          <w:szCs w:val="19"/>
        </w:rPr>
        <w:t>e natural debido al momento de ejecución</w:t>
      </w:r>
      <w:r w:rsidR="007A135A" w:rsidRPr="00296E53">
        <w:rPr>
          <w:rFonts w:ascii="Century Gothic" w:hAnsi="Century Gothic"/>
          <w:sz w:val="19"/>
          <w:szCs w:val="19"/>
        </w:rPr>
        <w:t>,</w:t>
      </w:r>
      <w:r w:rsidRPr="00296E53">
        <w:rPr>
          <w:rFonts w:ascii="Century Gothic" w:hAnsi="Century Gothic"/>
          <w:sz w:val="19"/>
          <w:szCs w:val="19"/>
        </w:rPr>
        <w:t xml:space="preserve"> </w:t>
      </w:r>
      <w:r w:rsidR="007A135A" w:rsidRPr="00296E53">
        <w:rPr>
          <w:rFonts w:ascii="Century Gothic" w:hAnsi="Century Gothic"/>
          <w:sz w:val="19"/>
          <w:szCs w:val="19"/>
        </w:rPr>
        <w:t>lo cual afecta en particular a</w:t>
      </w:r>
      <w:r w:rsidRPr="00296E53">
        <w:rPr>
          <w:rFonts w:ascii="Century Gothic" w:hAnsi="Century Gothic"/>
          <w:sz w:val="19"/>
          <w:szCs w:val="19"/>
        </w:rPr>
        <w:t xml:space="preserve"> la fase 7 de difusión.</w:t>
      </w:r>
    </w:p>
    <w:p w14:paraId="59AF1A91" w14:textId="77777777" w:rsidR="00415559" w:rsidRPr="00296E53" w:rsidRDefault="00415559">
      <w:pPr>
        <w:rPr>
          <w:rFonts w:ascii="Century Gothic" w:hAnsi="Century Gothic"/>
          <w:sz w:val="19"/>
          <w:szCs w:val="19"/>
        </w:rPr>
      </w:pPr>
      <w:r w:rsidRPr="00296E53">
        <w:rPr>
          <w:rFonts w:ascii="Century Gothic" w:hAnsi="Century Gothic"/>
          <w:sz w:val="19"/>
          <w:szCs w:val="19"/>
        </w:rPr>
        <w:br w:type="page"/>
      </w:r>
    </w:p>
    <w:p w14:paraId="2D9B2144" w14:textId="77777777" w:rsidR="00415559" w:rsidRPr="00296E53" w:rsidRDefault="00415559" w:rsidP="00415559">
      <w:pPr>
        <w:jc w:val="center"/>
        <w:rPr>
          <w:rFonts w:ascii="Century Gothic" w:hAnsi="Century Gothic"/>
          <w:sz w:val="19"/>
          <w:szCs w:val="19"/>
        </w:rPr>
      </w:pPr>
      <w:r w:rsidRPr="00296E53">
        <w:rPr>
          <w:rFonts w:ascii="Century Gothic" w:hAnsi="Century Gothic" w:cstheme="majorHAnsi"/>
          <w:b/>
          <w:sz w:val="19"/>
          <w:szCs w:val="19"/>
        </w:rPr>
        <w:t>A.7.3. Avance en las evidencias registradas</w:t>
      </w:r>
      <w:r w:rsidR="00612475" w:rsidRPr="00296E53">
        <w:rPr>
          <w:rFonts w:ascii="Century Gothic" w:hAnsi="Century Gothic" w:cstheme="majorHAnsi"/>
          <w:b/>
          <w:sz w:val="19"/>
          <w:szCs w:val="19"/>
        </w:rPr>
        <w:t xml:space="preserve"> por Unidad Administrativa y tipo de programa</w:t>
      </w:r>
    </w:p>
    <w:p w14:paraId="3357F975" w14:textId="363D5982" w:rsidR="002F67BD" w:rsidRPr="00296E53" w:rsidRDefault="00D22663" w:rsidP="00762C77">
      <w:pPr>
        <w:spacing w:before="240"/>
        <w:jc w:val="center"/>
        <w:rPr>
          <w:rFonts w:ascii="Century Gothic" w:hAnsi="Century Gothic"/>
          <w:sz w:val="19"/>
          <w:szCs w:val="19"/>
        </w:rPr>
      </w:pPr>
      <w:r w:rsidRPr="00D22663">
        <w:drawing>
          <wp:inline distT="0" distB="0" distL="0" distR="0" wp14:anchorId="54A086FA" wp14:editId="6977DBEF">
            <wp:extent cx="6522085" cy="44240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22085" cy="4424045"/>
                    </a:xfrm>
                    <a:prstGeom prst="rect">
                      <a:avLst/>
                    </a:prstGeom>
                    <a:noFill/>
                    <a:ln>
                      <a:noFill/>
                    </a:ln>
                  </pic:spPr>
                </pic:pic>
              </a:graphicData>
            </a:graphic>
          </wp:inline>
        </w:drawing>
      </w:r>
    </w:p>
    <w:p w14:paraId="5109C97B" w14:textId="74351C2E" w:rsidR="002F67BD" w:rsidRPr="00296E53" w:rsidRDefault="002F67BD" w:rsidP="002F67BD">
      <w:pPr>
        <w:spacing w:before="240"/>
        <w:jc w:val="both"/>
        <w:rPr>
          <w:rFonts w:ascii="Century Gothic" w:hAnsi="Century Gothic"/>
          <w:sz w:val="19"/>
          <w:szCs w:val="19"/>
        </w:rPr>
      </w:pPr>
      <w:r w:rsidRPr="00296E53">
        <w:rPr>
          <w:rFonts w:ascii="Century Gothic" w:hAnsi="Century Gothic"/>
          <w:sz w:val="19"/>
          <w:szCs w:val="19"/>
        </w:rPr>
        <w:t>A continuación</w:t>
      </w:r>
      <w:r w:rsidR="005352A6">
        <w:rPr>
          <w:rFonts w:ascii="Century Gothic" w:hAnsi="Century Gothic"/>
          <w:sz w:val="19"/>
          <w:szCs w:val="19"/>
        </w:rPr>
        <w:t>,</w:t>
      </w:r>
      <w:r w:rsidRPr="00296E53">
        <w:rPr>
          <w:rFonts w:ascii="Century Gothic" w:hAnsi="Century Gothic"/>
          <w:sz w:val="19"/>
          <w:szCs w:val="19"/>
        </w:rPr>
        <w:t xml:space="preserve"> se muestra esta información desglosada por programa de información Estadística y Geográfica</w:t>
      </w:r>
      <w:r w:rsidR="00415559" w:rsidRPr="00296E53">
        <w:rPr>
          <w:rFonts w:ascii="Century Gothic" w:hAnsi="Century Gothic"/>
          <w:sz w:val="19"/>
          <w:szCs w:val="19"/>
        </w:rPr>
        <w:t>.</w:t>
      </w:r>
    </w:p>
    <w:p w14:paraId="7F835490" w14:textId="77777777" w:rsidR="002F67BD" w:rsidRPr="00296E53" w:rsidRDefault="00415559" w:rsidP="00612475">
      <w:pPr>
        <w:jc w:val="center"/>
        <w:rPr>
          <w:rFonts w:ascii="Century Gothic" w:hAnsi="Century Gothic"/>
          <w:sz w:val="19"/>
          <w:szCs w:val="19"/>
        </w:rPr>
      </w:pPr>
      <w:r w:rsidRPr="00296E53">
        <w:rPr>
          <w:rFonts w:ascii="Century Gothic" w:hAnsi="Century Gothic" w:cstheme="majorHAnsi"/>
          <w:b/>
          <w:sz w:val="19"/>
          <w:szCs w:val="19"/>
        </w:rPr>
        <w:t>A.7.</w:t>
      </w:r>
      <w:r w:rsidR="00612475" w:rsidRPr="00296E53">
        <w:rPr>
          <w:rFonts w:ascii="Century Gothic" w:hAnsi="Century Gothic" w:cstheme="majorHAnsi"/>
          <w:b/>
          <w:sz w:val="19"/>
          <w:szCs w:val="19"/>
        </w:rPr>
        <w:t>4</w:t>
      </w:r>
      <w:r w:rsidRPr="00296E53">
        <w:rPr>
          <w:rFonts w:ascii="Century Gothic" w:hAnsi="Century Gothic" w:cstheme="majorHAnsi"/>
          <w:b/>
          <w:sz w:val="19"/>
          <w:szCs w:val="19"/>
        </w:rPr>
        <w:t>. Avance en las evidencias registradas</w:t>
      </w:r>
      <w:r w:rsidR="00612475" w:rsidRPr="00296E53">
        <w:rPr>
          <w:rFonts w:ascii="Century Gothic" w:hAnsi="Century Gothic" w:cstheme="majorHAnsi"/>
          <w:b/>
          <w:sz w:val="19"/>
          <w:szCs w:val="19"/>
        </w:rPr>
        <w:t xml:space="preserve"> por programa de información estadístico o geográfico</w:t>
      </w:r>
    </w:p>
    <w:p w14:paraId="6C501331" w14:textId="77777777" w:rsidR="002F67BD" w:rsidRPr="00296E53" w:rsidRDefault="002F67BD" w:rsidP="002F67BD">
      <w:pPr>
        <w:spacing w:before="240"/>
        <w:jc w:val="both"/>
        <w:rPr>
          <w:rFonts w:ascii="Century Gothic" w:hAnsi="Century Gothic"/>
          <w:sz w:val="19"/>
          <w:szCs w:val="19"/>
        </w:rPr>
      </w:pPr>
      <w:r w:rsidRPr="00296E53">
        <w:rPr>
          <w:noProof/>
          <w:lang w:eastAsia="es-MX"/>
        </w:rPr>
        <w:drawing>
          <wp:inline distT="0" distB="0" distL="0" distR="0" wp14:anchorId="0E0B644D" wp14:editId="6613878E">
            <wp:extent cx="8863342" cy="690296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3342" cy="6902960"/>
                    </a:xfrm>
                    <a:prstGeom prst="rect">
                      <a:avLst/>
                    </a:prstGeom>
                    <a:noFill/>
                    <a:ln>
                      <a:noFill/>
                    </a:ln>
                  </pic:spPr>
                </pic:pic>
              </a:graphicData>
            </a:graphic>
          </wp:inline>
        </w:drawing>
      </w:r>
    </w:p>
    <w:p w14:paraId="56FD3ACE" w14:textId="51082B18" w:rsidR="002F67BD" w:rsidRPr="00296E53" w:rsidRDefault="008C46C7" w:rsidP="002F67BD">
      <w:pPr>
        <w:spacing w:before="240"/>
        <w:jc w:val="both"/>
        <w:rPr>
          <w:rFonts w:ascii="Century Gothic" w:hAnsi="Century Gothic"/>
          <w:sz w:val="19"/>
          <w:szCs w:val="19"/>
        </w:rPr>
      </w:pPr>
      <w:r w:rsidRPr="00296E53">
        <w:rPr>
          <w:noProof/>
        </w:rPr>
        <w:drawing>
          <wp:inline distT="0" distB="0" distL="0" distR="0" wp14:anchorId="01455E61" wp14:editId="32019676">
            <wp:extent cx="9144000" cy="453072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0" cy="4530725"/>
                    </a:xfrm>
                    <a:prstGeom prst="rect">
                      <a:avLst/>
                    </a:prstGeom>
                    <a:noFill/>
                    <a:ln>
                      <a:noFill/>
                    </a:ln>
                  </pic:spPr>
                </pic:pic>
              </a:graphicData>
            </a:graphic>
          </wp:inline>
        </w:drawing>
      </w:r>
    </w:p>
    <w:p w14:paraId="4BC5E25A" w14:textId="77777777" w:rsidR="002F67BD" w:rsidRPr="00296E53" w:rsidRDefault="002F67BD" w:rsidP="002F67BD">
      <w:pPr>
        <w:rPr>
          <w:rFonts w:ascii="Century Gothic" w:hAnsi="Century Gothic"/>
          <w:sz w:val="19"/>
          <w:szCs w:val="19"/>
        </w:rPr>
      </w:pPr>
      <w:r w:rsidRPr="00296E53">
        <w:rPr>
          <w:rFonts w:ascii="Century Gothic" w:hAnsi="Century Gothic"/>
          <w:sz w:val="19"/>
          <w:szCs w:val="19"/>
        </w:rPr>
        <w:br w:type="page"/>
      </w:r>
    </w:p>
    <w:p w14:paraId="018977A8" w14:textId="77777777" w:rsidR="002F67BD" w:rsidRPr="00296E53" w:rsidRDefault="002F67BD" w:rsidP="002F67BD">
      <w:pPr>
        <w:spacing w:before="240"/>
        <w:jc w:val="both"/>
        <w:rPr>
          <w:rFonts w:ascii="Century Gothic" w:hAnsi="Century Gothic"/>
          <w:sz w:val="19"/>
          <w:szCs w:val="19"/>
        </w:rPr>
      </w:pPr>
      <w:r w:rsidRPr="00296E53">
        <w:rPr>
          <w:noProof/>
          <w:lang w:eastAsia="es-MX"/>
        </w:rPr>
        <w:drawing>
          <wp:inline distT="0" distB="0" distL="0" distR="0" wp14:anchorId="30A09015" wp14:editId="1AC445E1">
            <wp:extent cx="9137955" cy="6310265"/>
            <wp:effectExtent l="0" t="0" r="635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66817" cy="6330196"/>
                    </a:xfrm>
                    <a:prstGeom prst="rect">
                      <a:avLst/>
                    </a:prstGeom>
                    <a:noFill/>
                    <a:ln>
                      <a:noFill/>
                    </a:ln>
                  </pic:spPr>
                </pic:pic>
              </a:graphicData>
            </a:graphic>
          </wp:inline>
        </w:drawing>
      </w:r>
    </w:p>
    <w:p w14:paraId="11C01D29" w14:textId="77777777" w:rsidR="002F67BD" w:rsidRPr="00296E53" w:rsidRDefault="002F67BD" w:rsidP="002F67BD">
      <w:pPr>
        <w:rPr>
          <w:rFonts w:ascii="Century Gothic" w:hAnsi="Century Gothic"/>
          <w:sz w:val="19"/>
          <w:szCs w:val="19"/>
        </w:rPr>
      </w:pPr>
    </w:p>
    <w:p w14:paraId="122B590F" w14:textId="77777777" w:rsidR="002F67BD" w:rsidRPr="00296E53" w:rsidRDefault="002F67BD" w:rsidP="002F67BD">
      <w:pPr>
        <w:spacing w:before="240"/>
        <w:jc w:val="center"/>
        <w:rPr>
          <w:rFonts w:ascii="Century Gothic" w:hAnsi="Century Gothic"/>
          <w:sz w:val="19"/>
          <w:szCs w:val="19"/>
        </w:rPr>
      </w:pPr>
      <w:r w:rsidRPr="00296E53">
        <w:rPr>
          <w:noProof/>
          <w:lang w:eastAsia="es-MX"/>
        </w:rPr>
        <w:drawing>
          <wp:inline distT="0" distB="0" distL="0" distR="0" wp14:anchorId="76B990D1" wp14:editId="47F59816">
            <wp:extent cx="6371839" cy="2131700"/>
            <wp:effectExtent l="0" t="0" r="0" b="190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41480" cy="2154998"/>
                    </a:xfrm>
                    <a:prstGeom prst="rect">
                      <a:avLst/>
                    </a:prstGeom>
                    <a:noFill/>
                    <a:ln>
                      <a:noFill/>
                    </a:ln>
                  </pic:spPr>
                </pic:pic>
              </a:graphicData>
            </a:graphic>
          </wp:inline>
        </w:drawing>
      </w:r>
    </w:p>
    <w:p w14:paraId="2404450B" w14:textId="77777777" w:rsidR="002F67BD" w:rsidRPr="00296E53" w:rsidRDefault="002F67BD" w:rsidP="002F67BD">
      <w:pPr>
        <w:spacing w:before="240"/>
        <w:jc w:val="center"/>
        <w:rPr>
          <w:rFonts w:ascii="Century Gothic" w:hAnsi="Century Gothic"/>
          <w:sz w:val="19"/>
          <w:szCs w:val="19"/>
        </w:rPr>
      </w:pPr>
    </w:p>
    <w:p w14:paraId="52D975BF" w14:textId="77777777" w:rsidR="002F67BD" w:rsidRPr="00296E53" w:rsidRDefault="002F67BD" w:rsidP="002F67BD">
      <w:pPr>
        <w:spacing w:before="240"/>
        <w:jc w:val="center"/>
        <w:rPr>
          <w:rFonts w:ascii="Century Gothic" w:hAnsi="Century Gothic"/>
          <w:sz w:val="19"/>
          <w:szCs w:val="19"/>
        </w:rPr>
      </w:pPr>
      <w:r w:rsidRPr="00296E53">
        <w:rPr>
          <w:noProof/>
          <w:lang w:eastAsia="es-MX"/>
        </w:rPr>
        <w:drawing>
          <wp:inline distT="0" distB="0" distL="0" distR="0" wp14:anchorId="33D86F11" wp14:editId="1129A84F">
            <wp:extent cx="6412711" cy="1957050"/>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95661" cy="1982365"/>
                    </a:xfrm>
                    <a:prstGeom prst="rect">
                      <a:avLst/>
                    </a:prstGeom>
                    <a:noFill/>
                    <a:ln>
                      <a:noFill/>
                    </a:ln>
                  </pic:spPr>
                </pic:pic>
              </a:graphicData>
            </a:graphic>
          </wp:inline>
        </w:drawing>
      </w:r>
    </w:p>
    <w:p w14:paraId="7B871229" w14:textId="77777777" w:rsidR="002F67BD" w:rsidRPr="00296E53" w:rsidRDefault="002F67BD" w:rsidP="00E61E5D">
      <w:pPr>
        <w:spacing w:after="120"/>
        <w:rPr>
          <w:rFonts w:ascii="Century Gothic" w:hAnsi="Century Gothic"/>
          <w:sz w:val="19"/>
          <w:szCs w:val="19"/>
        </w:rPr>
      </w:pPr>
    </w:p>
    <w:p w14:paraId="07D0BB77" w14:textId="77777777" w:rsidR="00762C77" w:rsidRPr="00296E53" w:rsidRDefault="00762C77" w:rsidP="00E61E5D">
      <w:pPr>
        <w:spacing w:after="120"/>
        <w:rPr>
          <w:rFonts w:ascii="Century Gothic" w:hAnsi="Century Gothic"/>
          <w:sz w:val="19"/>
          <w:szCs w:val="19"/>
        </w:rPr>
      </w:pPr>
    </w:p>
    <w:p w14:paraId="6DB46E6A" w14:textId="77777777" w:rsidR="00762C77" w:rsidRPr="00296E53" w:rsidRDefault="00762C77">
      <w:pPr>
        <w:rPr>
          <w:rFonts w:ascii="Century Gothic" w:hAnsi="Century Gothic"/>
          <w:sz w:val="19"/>
          <w:szCs w:val="19"/>
        </w:rPr>
      </w:pPr>
      <w:r w:rsidRPr="00296E53">
        <w:rPr>
          <w:rFonts w:ascii="Century Gothic" w:hAnsi="Century Gothic"/>
          <w:sz w:val="19"/>
          <w:szCs w:val="19"/>
        </w:rPr>
        <w:br w:type="page"/>
      </w:r>
    </w:p>
    <w:p w14:paraId="3DFCBC76" w14:textId="77777777" w:rsidR="00762C77" w:rsidRPr="00296E53" w:rsidRDefault="00762C77" w:rsidP="00DD5EA8">
      <w:pPr>
        <w:pStyle w:val="Default"/>
        <w:spacing w:after="120"/>
        <w:jc w:val="right"/>
        <w:outlineLvl w:val="0"/>
        <w:rPr>
          <w:rFonts w:ascii="Century Gothic" w:hAnsi="Century Gothic"/>
          <w:smallCaps/>
          <w:color w:val="2E74B5" w:themeColor="accent1" w:themeShade="BF"/>
          <w:sz w:val="32"/>
          <w:szCs w:val="32"/>
          <w:lang w:val="es-MX"/>
          <w14:shadow w14:blurRad="63500" w14:dist="50800" w14:dir="2700000" w14:sx="0" w14:sy="0" w14:kx="0" w14:ky="0" w14:algn="none">
            <w14:srgbClr w14:val="000000">
              <w14:alpha w14:val="50000"/>
            </w14:srgbClr>
          </w14:shadow>
        </w:rPr>
      </w:pPr>
      <w:bookmarkStart w:id="29" w:name="_Toc65502235"/>
      <w:r w:rsidRPr="00296E53">
        <w:rPr>
          <w:rFonts w:ascii="Century Gothic" w:hAnsi="Century Gothic"/>
          <w:smallCaps/>
          <w:color w:val="2E74B5" w:themeColor="accent1" w:themeShade="BF"/>
          <w:sz w:val="32"/>
          <w:szCs w:val="32"/>
          <w:lang w:val="es-MX"/>
          <w14:shadow w14:blurRad="63500" w14:dist="50800" w14:dir="2700000" w14:sx="0" w14:sy="0" w14:kx="0" w14:ky="0" w14:algn="none">
            <w14:srgbClr w14:val="000000">
              <w14:alpha w14:val="50000"/>
            </w14:srgbClr>
          </w14:shadow>
        </w:rPr>
        <w:t>GLOSARIO DE ACRÓNIMOS</w:t>
      </w:r>
      <w:bookmarkEnd w:id="29"/>
    </w:p>
    <w:tbl>
      <w:tblPr>
        <w:tblW w:w="16307" w:type="dxa"/>
        <w:tblInd w:w="-1139" w:type="dxa"/>
        <w:tblLook w:val="04A0" w:firstRow="1" w:lastRow="0" w:firstColumn="1" w:lastColumn="0" w:noHBand="0" w:noVBand="1"/>
      </w:tblPr>
      <w:tblGrid>
        <w:gridCol w:w="7518"/>
        <w:gridCol w:w="8789"/>
      </w:tblGrid>
      <w:tr w:rsidR="00762C77" w:rsidRPr="00296E53" w14:paraId="3C985E7E" w14:textId="77777777" w:rsidTr="00CA5FDA">
        <w:trPr>
          <w:trHeight w:val="201"/>
        </w:trPr>
        <w:tc>
          <w:tcPr>
            <w:tcW w:w="7518" w:type="dxa"/>
            <w:shd w:val="clear" w:color="auto" w:fill="1F3864" w:themeFill="accent5" w:themeFillShade="80"/>
          </w:tcPr>
          <w:p w14:paraId="23D6E0B2" w14:textId="77777777" w:rsidR="00762C77" w:rsidRPr="00296E53" w:rsidRDefault="00762C77" w:rsidP="00CA5FDA">
            <w:pPr>
              <w:rPr>
                <w:rFonts w:cstheme="minorHAnsi"/>
                <w:color w:val="FFFFFF" w:themeColor="background1"/>
                <w:sz w:val="2"/>
                <w:szCs w:val="18"/>
              </w:rPr>
            </w:pPr>
          </w:p>
        </w:tc>
        <w:tc>
          <w:tcPr>
            <w:tcW w:w="8789" w:type="dxa"/>
            <w:shd w:val="clear" w:color="auto" w:fill="auto"/>
          </w:tcPr>
          <w:p w14:paraId="0576E0BD" w14:textId="77777777" w:rsidR="00762C77" w:rsidRPr="00296E53" w:rsidRDefault="00762C77" w:rsidP="00CA5FDA">
            <w:pPr>
              <w:rPr>
                <w:rFonts w:cstheme="minorHAnsi"/>
                <w:color w:val="FFFFFF" w:themeColor="background1"/>
                <w:sz w:val="2"/>
                <w:szCs w:val="18"/>
              </w:rPr>
            </w:pPr>
          </w:p>
        </w:tc>
      </w:tr>
      <w:tr w:rsidR="00762C77" w:rsidRPr="00296E53" w14:paraId="17639D9B" w14:textId="77777777" w:rsidTr="00CA5FDA">
        <w:trPr>
          <w:trHeight w:val="201"/>
        </w:trPr>
        <w:tc>
          <w:tcPr>
            <w:tcW w:w="7518" w:type="dxa"/>
            <w:shd w:val="clear" w:color="auto" w:fill="0079BF"/>
          </w:tcPr>
          <w:p w14:paraId="3C6DEB94" w14:textId="77777777" w:rsidR="00762C77" w:rsidRPr="00296E53" w:rsidRDefault="00762C77" w:rsidP="00CA5FDA">
            <w:pPr>
              <w:rPr>
                <w:rFonts w:cstheme="minorHAnsi"/>
                <w:color w:val="FFFFFF" w:themeColor="background1"/>
                <w:sz w:val="2"/>
                <w:szCs w:val="18"/>
              </w:rPr>
            </w:pPr>
          </w:p>
        </w:tc>
        <w:tc>
          <w:tcPr>
            <w:tcW w:w="8789" w:type="dxa"/>
            <w:shd w:val="clear" w:color="auto" w:fill="0079BF"/>
          </w:tcPr>
          <w:p w14:paraId="5FF36481" w14:textId="77777777" w:rsidR="00762C77" w:rsidRPr="00296E53" w:rsidRDefault="00762C77" w:rsidP="00CA5FDA">
            <w:pPr>
              <w:rPr>
                <w:rFonts w:cstheme="minorHAnsi"/>
                <w:color w:val="FFFFFF" w:themeColor="background1"/>
                <w:sz w:val="2"/>
                <w:szCs w:val="18"/>
              </w:rPr>
            </w:pPr>
          </w:p>
        </w:tc>
      </w:tr>
    </w:tbl>
    <w:p w14:paraId="63A1F6A2" w14:textId="77777777" w:rsidR="00762C77" w:rsidRPr="00296E53" w:rsidRDefault="00762C77" w:rsidP="00762C77">
      <w:pPr>
        <w:spacing w:after="120"/>
        <w:rPr>
          <w:rFonts w:ascii="Century Gothic" w:hAnsi="Century Gothic"/>
          <w:b/>
          <w:sz w:val="18"/>
        </w:rPr>
      </w:pPr>
    </w:p>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555"/>
        <w:gridCol w:w="8510"/>
      </w:tblGrid>
      <w:tr w:rsidR="00762C77" w:rsidRPr="00296E53" w14:paraId="1E36751F" w14:textId="77777777" w:rsidTr="00CA5FDA">
        <w:trPr>
          <w:trHeight w:val="20"/>
          <w:tblHeader/>
          <w:jc w:val="center"/>
        </w:trPr>
        <w:tc>
          <w:tcPr>
            <w:tcW w:w="1555" w:type="dxa"/>
            <w:shd w:val="clear" w:color="auto" w:fill="1F3864" w:themeFill="accent5" w:themeFillShade="80"/>
            <w:noWrap/>
            <w:vAlign w:val="center"/>
            <w:hideMark/>
          </w:tcPr>
          <w:p w14:paraId="577F8EF3" w14:textId="77777777" w:rsidR="00762C77" w:rsidRPr="00296E53" w:rsidRDefault="00762C77" w:rsidP="00CA5FDA">
            <w:pPr>
              <w:spacing w:after="0" w:line="240" w:lineRule="auto"/>
              <w:rPr>
                <w:rFonts w:ascii="Century Gothic" w:eastAsia="Times New Roman" w:hAnsi="Century Gothic" w:cs="Calibri"/>
                <w:b/>
                <w:color w:val="FFFFFF" w:themeColor="background1"/>
                <w:sz w:val="17"/>
                <w:szCs w:val="17"/>
                <w:lang w:val="en-US"/>
              </w:rPr>
            </w:pPr>
            <w:proofErr w:type="spellStart"/>
            <w:r w:rsidRPr="00296E53">
              <w:rPr>
                <w:rFonts w:ascii="Century Gothic" w:eastAsia="Times New Roman" w:hAnsi="Century Gothic" w:cs="Calibri"/>
                <w:b/>
                <w:color w:val="FFFFFF" w:themeColor="background1"/>
                <w:sz w:val="17"/>
                <w:szCs w:val="17"/>
                <w:lang w:val="en-US"/>
              </w:rPr>
              <w:t>Acrónimo</w:t>
            </w:r>
            <w:proofErr w:type="spellEnd"/>
          </w:p>
        </w:tc>
        <w:tc>
          <w:tcPr>
            <w:tcW w:w="8510" w:type="dxa"/>
            <w:shd w:val="clear" w:color="auto" w:fill="1F3864" w:themeFill="accent5" w:themeFillShade="80"/>
            <w:noWrap/>
            <w:vAlign w:val="center"/>
            <w:hideMark/>
          </w:tcPr>
          <w:p w14:paraId="539BE1E8" w14:textId="4F9167F5" w:rsidR="00762C77" w:rsidRPr="0006657D" w:rsidRDefault="00762C77" w:rsidP="00CA5FDA">
            <w:pPr>
              <w:spacing w:before="60" w:after="60" w:line="240" w:lineRule="auto"/>
              <w:rPr>
                <w:rFonts w:ascii="Century Gothic" w:eastAsia="Times New Roman" w:hAnsi="Century Gothic" w:cs="Calibri"/>
                <w:b/>
                <w:color w:val="FFFFFF" w:themeColor="background1"/>
                <w:sz w:val="17"/>
                <w:szCs w:val="17"/>
              </w:rPr>
            </w:pPr>
            <w:r w:rsidRPr="0006657D">
              <w:rPr>
                <w:rFonts w:ascii="Century Gothic" w:eastAsia="Times New Roman" w:hAnsi="Century Gothic" w:cs="Calibri"/>
                <w:b/>
                <w:color w:val="FFFFFF" w:themeColor="background1"/>
                <w:sz w:val="17"/>
                <w:szCs w:val="17"/>
              </w:rPr>
              <w:t>Programa</w:t>
            </w:r>
            <w:r w:rsidR="00DE0624" w:rsidRPr="0006657D">
              <w:rPr>
                <w:rFonts w:ascii="Century Gothic" w:eastAsia="Times New Roman" w:hAnsi="Century Gothic" w:cs="Calibri"/>
                <w:b/>
                <w:color w:val="FFFFFF" w:themeColor="background1"/>
                <w:sz w:val="17"/>
                <w:szCs w:val="17"/>
              </w:rPr>
              <w:t>s y productos</w:t>
            </w:r>
            <w:r w:rsidRPr="0006657D">
              <w:rPr>
                <w:rFonts w:ascii="Century Gothic" w:eastAsia="Times New Roman" w:hAnsi="Century Gothic" w:cs="Calibri"/>
                <w:b/>
                <w:color w:val="FFFFFF" w:themeColor="background1"/>
                <w:sz w:val="17"/>
                <w:szCs w:val="17"/>
              </w:rPr>
              <w:t xml:space="preserve"> de información</w:t>
            </w:r>
          </w:p>
        </w:tc>
      </w:tr>
      <w:tr w:rsidR="00762C77" w:rsidRPr="00296E53" w14:paraId="6B6AF190" w14:textId="77777777" w:rsidTr="00CA5FDA">
        <w:trPr>
          <w:trHeight w:val="20"/>
          <w:jc w:val="center"/>
        </w:trPr>
        <w:tc>
          <w:tcPr>
            <w:tcW w:w="1555" w:type="dxa"/>
            <w:shd w:val="clear" w:color="auto" w:fill="auto"/>
            <w:noWrap/>
            <w:vAlign w:val="center"/>
            <w:hideMark/>
          </w:tcPr>
          <w:p w14:paraId="2A37F90F"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BIARE</w:t>
            </w:r>
          </w:p>
        </w:tc>
        <w:tc>
          <w:tcPr>
            <w:tcW w:w="8510" w:type="dxa"/>
            <w:shd w:val="clear" w:color="auto" w:fill="auto"/>
            <w:noWrap/>
            <w:vAlign w:val="center"/>
            <w:hideMark/>
          </w:tcPr>
          <w:p w14:paraId="405A8346" w14:textId="77777777" w:rsidR="00762C77" w:rsidRPr="00DE0624" w:rsidRDefault="00762C77" w:rsidP="00CA5FDA">
            <w:pPr>
              <w:spacing w:before="60" w:after="60" w:line="240" w:lineRule="auto"/>
              <w:rPr>
                <w:rFonts w:ascii="Century Gothic" w:eastAsia="Times New Roman" w:hAnsi="Century Gothic" w:cs="Calibri"/>
                <w:sz w:val="17"/>
                <w:szCs w:val="17"/>
                <w:lang w:val="en-US"/>
              </w:rPr>
            </w:pPr>
            <w:proofErr w:type="spellStart"/>
            <w:r w:rsidRPr="00DE0624">
              <w:rPr>
                <w:rFonts w:ascii="Century Gothic" w:eastAsia="Times New Roman" w:hAnsi="Century Gothic" w:cs="Calibri"/>
                <w:sz w:val="17"/>
                <w:szCs w:val="17"/>
                <w:lang w:val="en-US"/>
              </w:rPr>
              <w:t>Bienestar</w:t>
            </w:r>
            <w:proofErr w:type="spellEnd"/>
            <w:r w:rsidRPr="00DE0624">
              <w:rPr>
                <w:rFonts w:ascii="Century Gothic" w:eastAsia="Times New Roman" w:hAnsi="Century Gothic" w:cs="Calibri"/>
                <w:sz w:val="17"/>
                <w:szCs w:val="17"/>
                <w:lang w:val="en-US"/>
              </w:rPr>
              <w:t xml:space="preserve"> </w:t>
            </w:r>
            <w:proofErr w:type="spellStart"/>
            <w:r w:rsidRPr="00DE0624">
              <w:rPr>
                <w:rFonts w:ascii="Century Gothic" w:eastAsia="Times New Roman" w:hAnsi="Century Gothic" w:cs="Calibri"/>
                <w:sz w:val="17"/>
                <w:szCs w:val="17"/>
                <w:lang w:val="en-US"/>
              </w:rPr>
              <w:t>Autorreportado</w:t>
            </w:r>
            <w:proofErr w:type="spellEnd"/>
          </w:p>
        </w:tc>
      </w:tr>
      <w:tr w:rsidR="00DE0624" w:rsidRPr="004078A5" w14:paraId="29B7CCA8" w14:textId="77777777" w:rsidTr="008D4663">
        <w:trPr>
          <w:trHeight w:val="20"/>
          <w:jc w:val="center"/>
        </w:trPr>
        <w:tc>
          <w:tcPr>
            <w:tcW w:w="1555" w:type="dxa"/>
            <w:shd w:val="clear" w:color="auto" w:fill="auto"/>
            <w:noWrap/>
            <w:vAlign w:val="center"/>
          </w:tcPr>
          <w:p w14:paraId="344D44B1" w14:textId="77777777" w:rsidR="00DE0624" w:rsidRPr="00DE0624" w:rsidRDefault="00DE0624" w:rsidP="008D4663">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BCMM</w:t>
            </w:r>
          </w:p>
        </w:tc>
        <w:tc>
          <w:tcPr>
            <w:tcW w:w="8510" w:type="dxa"/>
            <w:shd w:val="clear" w:color="auto" w:fill="auto"/>
            <w:noWrap/>
            <w:vAlign w:val="center"/>
          </w:tcPr>
          <w:p w14:paraId="13511C4F" w14:textId="77777777" w:rsidR="00DE0624" w:rsidRPr="00DE0624" w:rsidRDefault="00DE0624" w:rsidP="008D4663">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Balanza Comercial de Mercancías de México. </w:t>
            </w:r>
          </w:p>
        </w:tc>
      </w:tr>
      <w:tr w:rsidR="00762C77" w:rsidRPr="00296E53" w14:paraId="296C539D" w14:textId="77777777" w:rsidTr="00CA5FDA">
        <w:trPr>
          <w:trHeight w:val="20"/>
          <w:jc w:val="center"/>
        </w:trPr>
        <w:tc>
          <w:tcPr>
            <w:tcW w:w="1555" w:type="dxa"/>
            <w:shd w:val="clear" w:color="auto" w:fill="auto"/>
            <w:noWrap/>
            <w:vAlign w:val="center"/>
            <w:hideMark/>
          </w:tcPr>
          <w:p w14:paraId="00C2190D"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CSSSM</w:t>
            </w:r>
          </w:p>
        </w:tc>
        <w:tc>
          <w:tcPr>
            <w:tcW w:w="8510" w:type="dxa"/>
            <w:shd w:val="clear" w:color="auto" w:fill="auto"/>
            <w:noWrap/>
            <w:vAlign w:val="center"/>
            <w:hideMark/>
          </w:tcPr>
          <w:p w14:paraId="3147C564"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Cuenta Satélite del Sector Salud de México</w:t>
            </w:r>
          </w:p>
        </w:tc>
      </w:tr>
      <w:tr w:rsidR="00762C77" w:rsidRPr="00296E53" w14:paraId="24C090B3" w14:textId="77777777" w:rsidTr="00CA5FDA">
        <w:trPr>
          <w:trHeight w:val="20"/>
          <w:jc w:val="center"/>
        </w:trPr>
        <w:tc>
          <w:tcPr>
            <w:tcW w:w="1555" w:type="dxa"/>
            <w:shd w:val="clear" w:color="auto" w:fill="auto"/>
            <w:noWrap/>
            <w:vAlign w:val="center"/>
            <w:hideMark/>
          </w:tcPr>
          <w:p w14:paraId="3BD07B8D"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EAC</w:t>
            </w:r>
          </w:p>
        </w:tc>
        <w:tc>
          <w:tcPr>
            <w:tcW w:w="8510" w:type="dxa"/>
            <w:shd w:val="clear" w:color="auto" w:fill="auto"/>
            <w:noWrap/>
            <w:vAlign w:val="center"/>
            <w:hideMark/>
          </w:tcPr>
          <w:p w14:paraId="48209352" w14:textId="17324A53" w:rsidR="00762C77" w:rsidRPr="00DE0624" w:rsidRDefault="00762C77" w:rsidP="00CA5FDA">
            <w:pPr>
              <w:spacing w:before="60" w:after="60" w:line="240" w:lineRule="auto"/>
              <w:rPr>
                <w:rFonts w:ascii="Century Gothic" w:eastAsia="Times New Roman" w:hAnsi="Century Gothic" w:cs="Calibri"/>
                <w:sz w:val="17"/>
                <w:szCs w:val="17"/>
                <w:lang w:val="en-US"/>
              </w:rPr>
            </w:pPr>
            <w:proofErr w:type="spellStart"/>
            <w:r w:rsidRPr="00DE0624">
              <w:rPr>
                <w:rFonts w:ascii="Century Gothic" w:eastAsia="Times New Roman" w:hAnsi="Century Gothic" w:cs="Calibri"/>
                <w:sz w:val="17"/>
                <w:szCs w:val="17"/>
                <w:lang w:val="en-US"/>
              </w:rPr>
              <w:t>Encuesta</w:t>
            </w:r>
            <w:proofErr w:type="spellEnd"/>
            <w:r w:rsidRPr="00DE0624">
              <w:rPr>
                <w:rFonts w:ascii="Century Gothic" w:eastAsia="Times New Roman" w:hAnsi="Century Gothic" w:cs="Calibri"/>
                <w:sz w:val="17"/>
                <w:szCs w:val="17"/>
                <w:lang w:val="en-US"/>
              </w:rPr>
              <w:t xml:space="preserve"> </w:t>
            </w:r>
            <w:proofErr w:type="spellStart"/>
            <w:r w:rsidRPr="00DE0624">
              <w:rPr>
                <w:rFonts w:ascii="Century Gothic" w:eastAsia="Times New Roman" w:hAnsi="Century Gothic" w:cs="Calibri"/>
                <w:sz w:val="17"/>
                <w:szCs w:val="17"/>
                <w:lang w:val="en-US"/>
              </w:rPr>
              <w:t>Anual</w:t>
            </w:r>
            <w:proofErr w:type="spellEnd"/>
            <w:r w:rsidRPr="00DE0624">
              <w:rPr>
                <w:rFonts w:ascii="Century Gothic" w:eastAsia="Times New Roman" w:hAnsi="Century Gothic" w:cs="Calibri"/>
                <w:sz w:val="17"/>
                <w:szCs w:val="17"/>
                <w:lang w:val="en-US"/>
              </w:rPr>
              <w:t xml:space="preserve"> de </w:t>
            </w:r>
            <w:r w:rsidR="005340F6" w:rsidRPr="00DE0624">
              <w:rPr>
                <w:rFonts w:ascii="Century Gothic" w:eastAsia="Times New Roman" w:hAnsi="Century Gothic" w:cs="Calibri"/>
                <w:sz w:val="17"/>
                <w:szCs w:val="17"/>
                <w:lang w:val="en-US"/>
              </w:rPr>
              <w:t>C</w:t>
            </w:r>
            <w:r w:rsidRPr="00DE0624">
              <w:rPr>
                <w:rFonts w:ascii="Century Gothic" w:eastAsia="Times New Roman" w:hAnsi="Century Gothic" w:cs="Calibri"/>
                <w:sz w:val="17"/>
                <w:szCs w:val="17"/>
                <w:lang w:val="en-US"/>
              </w:rPr>
              <w:t>omercio</w:t>
            </w:r>
          </w:p>
        </w:tc>
      </w:tr>
      <w:tr w:rsidR="00762C77" w:rsidRPr="00296E53" w14:paraId="5416192B" w14:textId="77777777" w:rsidTr="00CA5FDA">
        <w:trPr>
          <w:trHeight w:val="20"/>
          <w:jc w:val="center"/>
        </w:trPr>
        <w:tc>
          <w:tcPr>
            <w:tcW w:w="1555" w:type="dxa"/>
            <w:shd w:val="clear" w:color="auto" w:fill="auto"/>
            <w:noWrap/>
            <w:vAlign w:val="center"/>
            <w:hideMark/>
          </w:tcPr>
          <w:p w14:paraId="0A7BE9B0"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EAEC</w:t>
            </w:r>
          </w:p>
        </w:tc>
        <w:tc>
          <w:tcPr>
            <w:tcW w:w="8510" w:type="dxa"/>
            <w:shd w:val="clear" w:color="auto" w:fill="auto"/>
            <w:noWrap/>
            <w:vAlign w:val="center"/>
            <w:hideMark/>
          </w:tcPr>
          <w:p w14:paraId="4EC0C36D"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Anual de Empresas Constructoras</w:t>
            </w:r>
          </w:p>
        </w:tc>
      </w:tr>
      <w:tr w:rsidR="00762C77" w:rsidRPr="00296E53" w14:paraId="76792E8D" w14:textId="77777777" w:rsidTr="00CA5FDA">
        <w:trPr>
          <w:trHeight w:val="20"/>
          <w:jc w:val="center"/>
        </w:trPr>
        <w:tc>
          <w:tcPr>
            <w:tcW w:w="1555" w:type="dxa"/>
            <w:shd w:val="clear" w:color="auto" w:fill="auto"/>
            <w:noWrap/>
            <w:vAlign w:val="center"/>
            <w:hideMark/>
          </w:tcPr>
          <w:p w14:paraId="6ED06806"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EAIM</w:t>
            </w:r>
          </w:p>
        </w:tc>
        <w:tc>
          <w:tcPr>
            <w:tcW w:w="8510" w:type="dxa"/>
            <w:shd w:val="clear" w:color="auto" w:fill="auto"/>
            <w:noWrap/>
            <w:vAlign w:val="center"/>
            <w:hideMark/>
          </w:tcPr>
          <w:p w14:paraId="4C33B37A"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Anual de la Industria Manufacturera</w:t>
            </w:r>
          </w:p>
        </w:tc>
      </w:tr>
      <w:tr w:rsidR="00762C77" w:rsidRPr="00296E53" w14:paraId="14FA5FBF" w14:textId="77777777" w:rsidTr="00CA5FDA">
        <w:trPr>
          <w:trHeight w:val="20"/>
          <w:jc w:val="center"/>
        </w:trPr>
        <w:tc>
          <w:tcPr>
            <w:tcW w:w="1555" w:type="dxa"/>
            <w:shd w:val="clear" w:color="auto" w:fill="auto"/>
            <w:noWrap/>
            <w:vAlign w:val="center"/>
            <w:hideMark/>
          </w:tcPr>
          <w:p w14:paraId="21FBD242"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EASPNF</w:t>
            </w:r>
          </w:p>
        </w:tc>
        <w:tc>
          <w:tcPr>
            <w:tcW w:w="8510" w:type="dxa"/>
            <w:shd w:val="clear" w:color="auto" w:fill="auto"/>
            <w:noWrap/>
            <w:vAlign w:val="center"/>
            <w:hideMark/>
          </w:tcPr>
          <w:p w14:paraId="54BDEB58"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Anual de Servicios Privados no financieros</w:t>
            </w:r>
          </w:p>
        </w:tc>
      </w:tr>
      <w:tr w:rsidR="00762C77" w:rsidRPr="00296E53" w14:paraId="687E171B" w14:textId="77777777" w:rsidTr="00CA5FDA">
        <w:trPr>
          <w:trHeight w:val="20"/>
          <w:jc w:val="center"/>
        </w:trPr>
        <w:tc>
          <w:tcPr>
            <w:tcW w:w="1555" w:type="dxa"/>
            <w:shd w:val="clear" w:color="auto" w:fill="auto"/>
            <w:noWrap/>
            <w:vAlign w:val="center"/>
            <w:hideMark/>
          </w:tcPr>
          <w:p w14:paraId="6437CE85"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EAT</w:t>
            </w:r>
          </w:p>
        </w:tc>
        <w:tc>
          <w:tcPr>
            <w:tcW w:w="8510" w:type="dxa"/>
            <w:shd w:val="clear" w:color="auto" w:fill="auto"/>
            <w:noWrap/>
            <w:vAlign w:val="center"/>
            <w:hideMark/>
          </w:tcPr>
          <w:p w14:paraId="4BFA9DA1" w14:textId="77777777" w:rsidR="00762C77" w:rsidRPr="00DE0624" w:rsidRDefault="00762C77" w:rsidP="00CA5FDA">
            <w:pPr>
              <w:spacing w:before="60" w:after="60" w:line="240" w:lineRule="auto"/>
              <w:rPr>
                <w:rFonts w:ascii="Century Gothic" w:eastAsia="Times New Roman" w:hAnsi="Century Gothic" w:cs="Calibri"/>
                <w:sz w:val="17"/>
                <w:szCs w:val="17"/>
                <w:lang w:val="en-US"/>
              </w:rPr>
            </w:pPr>
            <w:proofErr w:type="spellStart"/>
            <w:r w:rsidRPr="00DE0624">
              <w:rPr>
                <w:rFonts w:ascii="Century Gothic" w:eastAsia="Times New Roman" w:hAnsi="Century Gothic" w:cs="Calibri"/>
                <w:sz w:val="17"/>
                <w:szCs w:val="17"/>
                <w:lang w:val="en-US"/>
              </w:rPr>
              <w:t>Encuesta</w:t>
            </w:r>
            <w:proofErr w:type="spellEnd"/>
            <w:r w:rsidRPr="00DE0624">
              <w:rPr>
                <w:rFonts w:ascii="Century Gothic" w:eastAsia="Times New Roman" w:hAnsi="Century Gothic" w:cs="Calibri"/>
                <w:sz w:val="17"/>
                <w:szCs w:val="17"/>
                <w:lang w:val="en-US"/>
              </w:rPr>
              <w:t xml:space="preserve"> </w:t>
            </w:r>
            <w:proofErr w:type="spellStart"/>
            <w:r w:rsidRPr="00DE0624">
              <w:rPr>
                <w:rFonts w:ascii="Century Gothic" w:eastAsia="Times New Roman" w:hAnsi="Century Gothic" w:cs="Calibri"/>
                <w:sz w:val="17"/>
                <w:szCs w:val="17"/>
                <w:lang w:val="en-US"/>
              </w:rPr>
              <w:t>Anual</w:t>
            </w:r>
            <w:proofErr w:type="spellEnd"/>
            <w:r w:rsidRPr="00DE0624">
              <w:rPr>
                <w:rFonts w:ascii="Century Gothic" w:eastAsia="Times New Roman" w:hAnsi="Century Gothic" w:cs="Calibri"/>
                <w:sz w:val="17"/>
                <w:szCs w:val="17"/>
                <w:lang w:val="en-US"/>
              </w:rPr>
              <w:t xml:space="preserve"> de </w:t>
            </w:r>
            <w:proofErr w:type="spellStart"/>
            <w:r w:rsidRPr="00DE0624">
              <w:rPr>
                <w:rFonts w:ascii="Century Gothic" w:eastAsia="Times New Roman" w:hAnsi="Century Gothic" w:cs="Calibri"/>
                <w:sz w:val="17"/>
                <w:szCs w:val="17"/>
                <w:lang w:val="en-US"/>
              </w:rPr>
              <w:t>Transportes</w:t>
            </w:r>
            <w:proofErr w:type="spellEnd"/>
          </w:p>
        </w:tc>
      </w:tr>
      <w:tr w:rsidR="00762C77" w:rsidRPr="00296E53" w14:paraId="682BA1C5" w14:textId="77777777" w:rsidTr="00CA5FDA">
        <w:trPr>
          <w:trHeight w:val="20"/>
          <w:jc w:val="center"/>
        </w:trPr>
        <w:tc>
          <w:tcPr>
            <w:tcW w:w="1555" w:type="dxa"/>
            <w:shd w:val="clear" w:color="auto" w:fill="auto"/>
            <w:noWrap/>
            <w:vAlign w:val="center"/>
            <w:hideMark/>
          </w:tcPr>
          <w:p w14:paraId="48495D0C"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EAVMC</w:t>
            </w:r>
          </w:p>
        </w:tc>
        <w:tc>
          <w:tcPr>
            <w:tcW w:w="8510" w:type="dxa"/>
            <w:shd w:val="clear" w:color="auto" w:fill="auto"/>
            <w:noWrap/>
            <w:vAlign w:val="center"/>
            <w:hideMark/>
          </w:tcPr>
          <w:p w14:paraId="418360F6"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Estadística de Vehículos de Motor Registrados en Circulación (Anual)</w:t>
            </w:r>
          </w:p>
        </w:tc>
      </w:tr>
      <w:tr w:rsidR="00D45B6A" w:rsidRPr="00296E53" w14:paraId="0C9DF3CD" w14:textId="77777777" w:rsidTr="00CA5FDA">
        <w:trPr>
          <w:trHeight w:val="20"/>
          <w:jc w:val="center"/>
        </w:trPr>
        <w:tc>
          <w:tcPr>
            <w:tcW w:w="1555" w:type="dxa"/>
            <w:shd w:val="clear" w:color="auto" w:fill="auto"/>
            <w:noWrap/>
            <w:vAlign w:val="center"/>
          </w:tcPr>
          <w:p w14:paraId="2BFBCBC1" w14:textId="5852D4FB" w:rsidR="00D45B6A" w:rsidRPr="00DE0624" w:rsidRDefault="00D45B6A" w:rsidP="00CA5FDA">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ECRIGE-CDMX</w:t>
            </w:r>
          </w:p>
        </w:tc>
        <w:tc>
          <w:tcPr>
            <w:tcW w:w="8510" w:type="dxa"/>
            <w:shd w:val="clear" w:color="auto" w:fill="auto"/>
            <w:noWrap/>
            <w:vAlign w:val="center"/>
          </w:tcPr>
          <w:p w14:paraId="75C473DE" w14:textId="662F8548" w:rsidR="00D45B6A" w:rsidRPr="00DE0624" w:rsidRDefault="00D45B6A"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de Calidad Regulatoria e Impacto Gubernamental en Empresas de la Ciudad de México</w:t>
            </w:r>
          </w:p>
        </w:tc>
      </w:tr>
      <w:tr w:rsidR="00762C77" w:rsidRPr="00296E53" w14:paraId="5ADFC460" w14:textId="77777777" w:rsidTr="00CA5FDA">
        <w:trPr>
          <w:trHeight w:val="20"/>
          <w:jc w:val="center"/>
        </w:trPr>
        <w:tc>
          <w:tcPr>
            <w:tcW w:w="1555" w:type="dxa"/>
            <w:shd w:val="clear" w:color="auto" w:fill="auto"/>
            <w:noWrap/>
            <w:vAlign w:val="center"/>
            <w:hideMark/>
          </w:tcPr>
          <w:p w14:paraId="6CE9EBB0"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EDER</w:t>
            </w:r>
          </w:p>
        </w:tc>
        <w:tc>
          <w:tcPr>
            <w:tcW w:w="8510" w:type="dxa"/>
            <w:shd w:val="clear" w:color="auto" w:fill="auto"/>
            <w:noWrap/>
            <w:vAlign w:val="center"/>
            <w:hideMark/>
          </w:tcPr>
          <w:p w14:paraId="6503B912" w14:textId="77777777" w:rsidR="00762C77" w:rsidRPr="00DE0624" w:rsidRDefault="00762C77" w:rsidP="00CA5FDA">
            <w:pPr>
              <w:spacing w:before="60" w:after="60" w:line="240" w:lineRule="auto"/>
              <w:rPr>
                <w:rFonts w:ascii="Century Gothic" w:eastAsia="Times New Roman" w:hAnsi="Century Gothic" w:cs="Calibri"/>
                <w:sz w:val="17"/>
                <w:szCs w:val="17"/>
                <w:lang w:val="en-US"/>
              </w:rPr>
            </w:pPr>
            <w:proofErr w:type="spellStart"/>
            <w:r w:rsidRPr="00DE0624">
              <w:rPr>
                <w:rFonts w:ascii="Century Gothic" w:eastAsia="Times New Roman" w:hAnsi="Century Gothic" w:cs="Calibri"/>
                <w:sz w:val="17"/>
                <w:szCs w:val="17"/>
                <w:lang w:val="en-US"/>
              </w:rPr>
              <w:t>Encuesta</w:t>
            </w:r>
            <w:proofErr w:type="spellEnd"/>
            <w:r w:rsidRPr="00DE0624">
              <w:rPr>
                <w:rFonts w:ascii="Century Gothic" w:eastAsia="Times New Roman" w:hAnsi="Century Gothic" w:cs="Calibri"/>
                <w:sz w:val="17"/>
                <w:szCs w:val="17"/>
                <w:lang w:val="en-US"/>
              </w:rPr>
              <w:t xml:space="preserve"> </w:t>
            </w:r>
            <w:proofErr w:type="spellStart"/>
            <w:r w:rsidRPr="00DE0624">
              <w:rPr>
                <w:rFonts w:ascii="Century Gothic" w:eastAsia="Times New Roman" w:hAnsi="Century Gothic" w:cs="Calibri"/>
                <w:sz w:val="17"/>
                <w:szCs w:val="17"/>
                <w:lang w:val="en-US"/>
              </w:rPr>
              <w:t>Demográfica</w:t>
            </w:r>
            <w:proofErr w:type="spellEnd"/>
            <w:r w:rsidRPr="00DE0624">
              <w:rPr>
                <w:rFonts w:ascii="Century Gothic" w:eastAsia="Times New Roman" w:hAnsi="Century Gothic" w:cs="Calibri"/>
                <w:sz w:val="17"/>
                <w:szCs w:val="17"/>
                <w:lang w:val="en-US"/>
              </w:rPr>
              <w:t xml:space="preserve"> </w:t>
            </w:r>
            <w:proofErr w:type="spellStart"/>
            <w:r w:rsidRPr="00DE0624">
              <w:rPr>
                <w:rFonts w:ascii="Century Gothic" w:eastAsia="Times New Roman" w:hAnsi="Century Gothic" w:cs="Calibri"/>
                <w:sz w:val="17"/>
                <w:szCs w:val="17"/>
                <w:lang w:val="en-US"/>
              </w:rPr>
              <w:t>Retrospectiva</w:t>
            </w:r>
            <w:proofErr w:type="spellEnd"/>
          </w:p>
        </w:tc>
      </w:tr>
      <w:tr w:rsidR="00762C77" w:rsidRPr="00296E53" w14:paraId="5E7F529B" w14:textId="77777777" w:rsidTr="00CA5FDA">
        <w:trPr>
          <w:trHeight w:val="20"/>
          <w:jc w:val="center"/>
        </w:trPr>
        <w:tc>
          <w:tcPr>
            <w:tcW w:w="1555" w:type="dxa"/>
            <w:shd w:val="clear" w:color="auto" w:fill="auto"/>
            <w:noWrap/>
            <w:vAlign w:val="center"/>
            <w:hideMark/>
          </w:tcPr>
          <w:p w14:paraId="557D72BC"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EFIPEM</w:t>
            </w:r>
          </w:p>
        </w:tc>
        <w:tc>
          <w:tcPr>
            <w:tcW w:w="8510" w:type="dxa"/>
            <w:shd w:val="clear" w:color="auto" w:fill="auto"/>
            <w:noWrap/>
            <w:vAlign w:val="center"/>
            <w:hideMark/>
          </w:tcPr>
          <w:p w14:paraId="48A78AA9"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Estadísticas de Finanzas Públicas Estatales y Municipales</w:t>
            </w:r>
          </w:p>
        </w:tc>
      </w:tr>
      <w:tr w:rsidR="00762C77" w:rsidRPr="00296E53" w14:paraId="576EC0E5" w14:textId="77777777" w:rsidTr="00CA5FDA">
        <w:trPr>
          <w:trHeight w:val="20"/>
          <w:jc w:val="center"/>
        </w:trPr>
        <w:tc>
          <w:tcPr>
            <w:tcW w:w="1555" w:type="dxa"/>
            <w:shd w:val="clear" w:color="auto" w:fill="auto"/>
            <w:noWrap/>
            <w:vAlign w:val="center"/>
            <w:hideMark/>
          </w:tcPr>
          <w:p w14:paraId="5590DCA6"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EMEC</w:t>
            </w:r>
          </w:p>
        </w:tc>
        <w:tc>
          <w:tcPr>
            <w:tcW w:w="8510" w:type="dxa"/>
            <w:shd w:val="clear" w:color="auto" w:fill="auto"/>
            <w:noWrap/>
            <w:vAlign w:val="center"/>
            <w:hideMark/>
          </w:tcPr>
          <w:p w14:paraId="316DAC10"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Mensual Sobre Empresas Comerciales</w:t>
            </w:r>
          </w:p>
        </w:tc>
      </w:tr>
      <w:tr w:rsidR="00762C77" w:rsidRPr="00296E53" w14:paraId="73744C0D" w14:textId="77777777" w:rsidTr="00CA5FDA">
        <w:trPr>
          <w:trHeight w:val="20"/>
          <w:jc w:val="center"/>
        </w:trPr>
        <w:tc>
          <w:tcPr>
            <w:tcW w:w="1555" w:type="dxa"/>
            <w:shd w:val="clear" w:color="auto" w:fill="auto"/>
            <w:noWrap/>
            <w:vAlign w:val="center"/>
            <w:hideMark/>
          </w:tcPr>
          <w:p w14:paraId="4EEAFE49"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EMIM</w:t>
            </w:r>
          </w:p>
        </w:tc>
        <w:tc>
          <w:tcPr>
            <w:tcW w:w="8510" w:type="dxa"/>
            <w:shd w:val="clear" w:color="auto" w:fill="auto"/>
            <w:noWrap/>
            <w:vAlign w:val="center"/>
            <w:hideMark/>
          </w:tcPr>
          <w:p w14:paraId="282A2258"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Mensual de la Industria Manufacturera</w:t>
            </w:r>
          </w:p>
        </w:tc>
      </w:tr>
      <w:tr w:rsidR="00762C77" w:rsidRPr="00296E53" w14:paraId="678D763C" w14:textId="77777777" w:rsidTr="00CA5FDA">
        <w:trPr>
          <w:trHeight w:val="20"/>
          <w:jc w:val="center"/>
        </w:trPr>
        <w:tc>
          <w:tcPr>
            <w:tcW w:w="1555" w:type="dxa"/>
            <w:shd w:val="clear" w:color="auto" w:fill="auto"/>
            <w:noWrap/>
            <w:vAlign w:val="center"/>
            <w:hideMark/>
          </w:tcPr>
          <w:p w14:paraId="4F9696DE"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EMOE</w:t>
            </w:r>
          </w:p>
        </w:tc>
        <w:tc>
          <w:tcPr>
            <w:tcW w:w="8510" w:type="dxa"/>
            <w:shd w:val="clear" w:color="auto" w:fill="auto"/>
            <w:noWrap/>
            <w:vAlign w:val="center"/>
            <w:hideMark/>
          </w:tcPr>
          <w:p w14:paraId="5F269E22" w14:textId="3FE9715F"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Mensual de </w:t>
            </w:r>
            <w:r w:rsidR="002E1DA3" w:rsidRPr="00DE0624">
              <w:rPr>
                <w:rFonts w:ascii="Century Gothic" w:eastAsia="Times New Roman" w:hAnsi="Century Gothic" w:cs="Calibri"/>
                <w:sz w:val="17"/>
                <w:szCs w:val="17"/>
              </w:rPr>
              <w:t>O</w:t>
            </w:r>
            <w:r w:rsidRPr="00DE0624">
              <w:rPr>
                <w:rFonts w:ascii="Century Gothic" w:eastAsia="Times New Roman" w:hAnsi="Century Gothic" w:cs="Calibri"/>
                <w:sz w:val="17"/>
                <w:szCs w:val="17"/>
              </w:rPr>
              <w:t xml:space="preserve">pinión </w:t>
            </w:r>
            <w:r w:rsidR="002E1DA3" w:rsidRPr="00DE0624">
              <w:rPr>
                <w:rFonts w:ascii="Century Gothic" w:eastAsia="Times New Roman" w:hAnsi="Century Gothic" w:cs="Calibri"/>
                <w:sz w:val="17"/>
                <w:szCs w:val="17"/>
              </w:rPr>
              <w:t>E</w:t>
            </w:r>
            <w:r w:rsidRPr="00DE0624">
              <w:rPr>
                <w:rFonts w:ascii="Century Gothic" w:eastAsia="Times New Roman" w:hAnsi="Century Gothic" w:cs="Calibri"/>
                <w:sz w:val="17"/>
                <w:szCs w:val="17"/>
              </w:rPr>
              <w:t>mpresarial</w:t>
            </w:r>
          </w:p>
        </w:tc>
      </w:tr>
      <w:tr w:rsidR="00DE0624" w:rsidRPr="00296E53" w14:paraId="7642F3BC" w14:textId="77777777" w:rsidTr="00CA5FDA">
        <w:trPr>
          <w:trHeight w:val="20"/>
          <w:jc w:val="center"/>
        </w:trPr>
        <w:tc>
          <w:tcPr>
            <w:tcW w:w="1555" w:type="dxa"/>
            <w:shd w:val="clear" w:color="auto" w:fill="auto"/>
            <w:noWrap/>
            <w:vAlign w:val="center"/>
          </w:tcPr>
          <w:p w14:paraId="0FC9822C" w14:textId="0A516A55"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EMOE_EE</w:t>
            </w:r>
          </w:p>
        </w:tc>
        <w:tc>
          <w:tcPr>
            <w:tcW w:w="8510" w:type="dxa"/>
            <w:shd w:val="clear" w:color="auto" w:fill="auto"/>
            <w:noWrap/>
            <w:vAlign w:val="center"/>
          </w:tcPr>
          <w:p w14:paraId="40938430" w14:textId="7068FC8B"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Mensual de opinión empresarial. Indicadores de Expectativas Empresariales</w:t>
            </w:r>
          </w:p>
        </w:tc>
      </w:tr>
      <w:tr w:rsidR="00DE0624" w:rsidRPr="00296E53" w14:paraId="54A8EFE1" w14:textId="77777777" w:rsidTr="00CA5FDA">
        <w:trPr>
          <w:trHeight w:val="20"/>
          <w:jc w:val="center"/>
        </w:trPr>
        <w:tc>
          <w:tcPr>
            <w:tcW w:w="1555" w:type="dxa"/>
            <w:shd w:val="clear" w:color="auto" w:fill="auto"/>
            <w:noWrap/>
            <w:vAlign w:val="center"/>
          </w:tcPr>
          <w:p w14:paraId="32885738" w14:textId="06AD4D25"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EMOE_CE</w:t>
            </w:r>
          </w:p>
        </w:tc>
        <w:tc>
          <w:tcPr>
            <w:tcW w:w="8510" w:type="dxa"/>
            <w:shd w:val="clear" w:color="auto" w:fill="auto"/>
            <w:noWrap/>
            <w:vAlign w:val="center"/>
          </w:tcPr>
          <w:p w14:paraId="3386C7BA" w14:textId="4175469A"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Mensual de opinión empresarial. Indicadores de Confianza Empresarial</w:t>
            </w:r>
          </w:p>
        </w:tc>
      </w:tr>
      <w:tr w:rsidR="00762C77" w:rsidRPr="00296E53" w14:paraId="6FC2DDDD" w14:textId="77777777" w:rsidTr="00CA5FDA">
        <w:trPr>
          <w:trHeight w:val="20"/>
          <w:jc w:val="center"/>
        </w:trPr>
        <w:tc>
          <w:tcPr>
            <w:tcW w:w="1555" w:type="dxa"/>
            <w:shd w:val="clear" w:color="auto" w:fill="auto"/>
            <w:noWrap/>
            <w:vAlign w:val="center"/>
            <w:hideMark/>
          </w:tcPr>
          <w:p w14:paraId="38FDCD9D"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EMOE COM</w:t>
            </w:r>
          </w:p>
        </w:tc>
        <w:tc>
          <w:tcPr>
            <w:tcW w:w="8510" w:type="dxa"/>
            <w:shd w:val="clear" w:color="auto" w:fill="auto"/>
            <w:noWrap/>
            <w:vAlign w:val="center"/>
            <w:hideMark/>
          </w:tcPr>
          <w:p w14:paraId="7BC5D680" w14:textId="4CCF9DAE"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Mensual de </w:t>
            </w:r>
            <w:r w:rsidR="005340F6" w:rsidRPr="00DE0624">
              <w:rPr>
                <w:rFonts w:ascii="Century Gothic" w:eastAsia="Times New Roman" w:hAnsi="Century Gothic" w:cs="Calibri"/>
                <w:sz w:val="17"/>
                <w:szCs w:val="17"/>
              </w:rPr>
              <w:t>O</w:t>
            </w:r>
            <w:r w:rsidRPr="00DE0624">
              <w:rPr>
                <w:rFonts w:ascii="Century Gothic" w:eastAsia="Times New Roman" w:hAnsi="Century Gothic" w:cs="Calibri"/>
                <w:sz w:val="17"/>
                <w:szCs w:val="17"/>
              </w:rPr>
              <w:t xml:space="preserve">pinión </w:t>
            </w:r>
            <w:r w:rsidR="005340F6" w:rsidRPr="00DE0624">
              <w:rPr>
                <w:rFonts w:ascii="Century Gothic" w:eastAsia="Times New Roman" w:hAnsi="Century Gothic" w:cs="Calibri"/>
                <w:sz w:val="17"/>
                <w:szCs w:val="17"/>
              </w:rPr>
              <w:t>E</w:t>
            </w:r>
            <w:r w:rsidRPr="00DE0624">
              <w:rPr>
                <w:rFonts w:ascii="Century Gothic" w:eastAsia="Times New Roman" w:hAnsi="Century Gothic" w:cs="Calibri"/>
                <w:sz w:val="17"/>
                <w:szCs w:val="17"/>
              </w:rPr>
              <w:t>mpresarial [Sector Comercio]</w:t>
            </w:r>
          </w:p>
        </w:tc>
      </w:tr>
      <w:tr w:rsidR="00762C77" w:rsidRPr="00296E53" w14:paraId="3787BCBB" w14:textId="77777777" w:rsidTr="00CA5FDA">
        <w:trPr>
          <w:trHeight w:val="20"/>
          <w:jc w:val="center"/>
        </w:trPr>
        <w:tc>
          <w:tcPr>
            <w:tcW w:w="1555" w:type="dxa"/>
            <w:shd w:val="clear" w:color="auto" w:fill="auto"/>
            <w:noWrap/>
            <w:vAlign w:val="center"/>
            <w:hideMark/>
          </w:tcPr>
          <w:p w14:paraId="21C660BF"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EMOE CONS</w:t>
            </w:r>
          </w:p>
        </w:tc>
        <w:tc>
          <w:tcPr>
            <w:tcW w:w="8510" w:type="dxa"/>
            <w:shd w:val="clear" w:color="auto" w:fill="auto"/>
            <w:noWrap/>
            <w:vAlign w:val="center"/>
            <w:hideMark/>
          </w:tcPr>
          <w:p w14:paraId="527A43CC" w14:textId="796015FA"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Mensual de </w:t>
            </w:r>
            <w:r w:rsidR="005340F6" w:rsidRPr="00DE0624">
              <w:rPr>
                <w:rFonts w:ascii="Century Gothic" w:eastAsia="Times New Roman" w:hAnsi="Century Gothic" w:cs="Calibri"/>
                <w:sz w:val="17"/>
                <w:szCs w:val="17"/>
              </w:rPr>
              <w:t>O</w:t>
            </w:r>
            <w:r w:rsidRPr="00DE0624">
              <w:rPr>
                <w:rFonts w:ascii="Century Gothic" w:eastAsia="Times New Roman" w:hAnsi="Century Gothic" w:cs="Calibri"/>
                <w:sz w:val="17"/>
                <w:szCs w:val="17"/>
              </w:rPr>
              <w:t xml:space="preserve">pinión </w:t>
            </w:r>
            <w:r w:rsidR="005340F6" w:rsidRPr="00DE0624">
              <w:rPr>
                <w:rFonts w:ascii="Century Gothic" w:eastAsia="Times New Roman" w:hAnsi="Century Gothic" w:cs="Calibri"/>
                <w:sz w:val="17"/>
                <w:szCs w:val="17"/>
              </w:rPr>
              <w:t>E</w:t>
            </w:r>
            <w:r w:rsidRPr="00DE0624">
              <w:rPr>
                <w:rFonts w:ascii="Century Gothic" w:eastAsia="Times New Roman" w:hAnsi="Century Gothic" w:cs="Calibri"/>
                <w:sz w:val="17"/>
                <w:szCs w:val="17"/>
              </w:rPr>
              <w:t>mpresarial [Sector Construcción]</w:t>
            </w:r>
          </w:p>
        </w:tc>
      </w:tr>
      <w:tr w:rsidR="00762C77" w:rsidRPr="00296E53" w14:paraId="7CACE1AA" w14:textId="77777777" w:rsidTr="00CA5FDA">
        <w:trPr>
          <w:trHeight w:val="20"/>
          <w:jc w:val="center"/>
        </w:trPr>
        <w:tc>
          <w:tcPr>
            <w:tcW w:w="1555" w:type="dxa"/>
            <w:shd w:val="clear" w:color="auto" w:fill="auto"/>
            <w:noWrap/>
            <w:vAlign w:val="center"/>
            <w:hideMark/>
          </w:tcPr>
          <w:p w14:paraId="6D6020AE"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EMOE MAN</w:t>
            </w:r>
          </w:p>
        </w:tc>
        <w:tc>
          <w:tcPr>
            <w:tcW w:w="8510" w:type="dxa"/>
            <w:shd w:val="clear" w:color="auto" w:fill="auto"/>
            <w:noWrap/>
            <w:vAlign w:val="center"/>
            <w:hideMark/>
          </w:tcPr>
          <w:p w14:paraId="1BD2AFBF" w14:textId="5F214565"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Mensual de </w:t>
            </w:r>
            <w:r w:rsidR="005340F6" w:rsidRPr="00DE0624">
              <w:rPr>
                <w:rFonts w:ascii="Century Gothic" w:eastAsia="Times New Roman" w:hAnsi="Century Gothic" w:cs="Calibri"/>
                <w:sz w:val="17"/>
                <w:szCs w:val="17"/>
              </w:rPr>
              <w:t>O</w:t>
            </w:r>
            <w:r w:rsidRPr="00DE0624">
              <w:rPr>
                <w:rFonts w:ascii="Century Gothic" w:eastAsia="Times New Roman" w:hAnsi="Century Gothic" w:cs="Calibri"/>
                <w:sz w:val="17"/>
                <w:szCs w:val="17"/>
              </w:rPr>
              <w:t xml:space="preserve">pinión </w:t>
            </w:r>
            <w:r w:rsidR="005340F6" w:rsidRPr="00DE0624">
              <w:rPr>
                <w:rFonts w:ascii="Century Gothic" w:eastAsia="Times New Roman" w:hAnsi="Century Gothic" w:cs="Calibri"/>
                <w:sz w:val="17"/>
                <w:szCs w:val="17"/>
              </w:rPr>
              <w:t>E</w:t>
            </w:r>
            <w:r w:rsidRPr="00DE0624">
              <w:rPr>
                <w:rFonts w:ascii="Century Gothic" w:eastAsia="Times New Roman" w:hAnsi="Century Gothic" w:cs="Calibri"/>
                <w:sz w:val="17"/>
                <w:szCs w:val="17"/>
              </w:rPr>
              <w:t>mpresarial [Sector Manufactura]</w:t>
            </w:r>
          </w:p>
        </w:tc>
      </w:tr>
      <w:tr w:rsidR="00762C77" w:rsidRPr="00296E53" w14:paraId="719D954D" w14:textId="77777777" w:rsidTr="00CA5FDA">
        <w:trPr>
          <w:trHeight w:val="20"/>
          <w:jc w:val="center"/>
        </w:trPr>
        <w:tc>
          <w:tcPr>
            <w:tcW w:w="1555" w:type="dxa"/>
            <w:shd w:val="clear" w:color="auto" w:fill="auto"/>
            <w:noWrap/>
            <w:vAlign w:val="center"/>
            <w:hideMark/>
          </w:tcPr>
          <w:p w14:paraId="0F5A2834"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EMOE SER</w:t>
            </w:r>
          </w:p>
        </w:tc>
        <w:tc>
          <w:tcPr>
            <w:tcW w:w="8510" w:type="dxa"/>
            <w:shd w:val="clear" w:color="auto" w:fill="auto"/>
            <w:noWrap/>
            <w:vAlign w:val="center"/>
            <w:hideMark/>
          </w:tcPr>
          <w:p w14:paraId="10C506AB" w14:textId="57C9ABD1"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Mensual de </w:t>
            </w:r>
            <w:r w:rsidR="005340F6" w:rsidRPr="00DE0624">
              <w:rPr>
                <w:rFonts w:ascii="Century Gothic" w:eastAsia="Times New Roman" w:hAnsi="Century Gothic" w:cs="Calibri"/>
                <w:sz w:val="17"/>
                <w:szCs w:val="17"/>
              </w:rPr>
              <w:t>O</w:t>
            </w:r>
            <w:r w:rsidRPr="00DE0624">
              <w:rPr>
                <w:rFonts w:ascii="Century Gothic" w:eastAsia="Times New Roman" w:hAnsi="Century Gothic" w:cs="Calibri"/>
                <w:sz w:val="17"/>
                <w:szCs w:val="17"/>
              </w:rPr>
              <w:t xml:space="preserve">pinión </w:t>
            </w:r>
            <w:r w:rsidR="005340F6" w:rsidRPr="00DE0624">
              <w:rPr>
                <w:rFonts w:ascii="Century Gothic" w:eastAsia="Times New Roman" w:hAnsi="Century Gothic" w:cs="Calibri"/>
                <w:sz w:val="17"/>
                <w:szCs w:val="17"/>
              </w:rPr>
              <w:t>E</w:t>
            </w:r>
            <w:r w:rsidRPr="00DE0624">
              <w:rPr>
                <w:rFonts w:ascii="Century Gothic" w:eastAsia="Times New Roman" w:hAnsi="Century Gothic" w:cs="Calibri"/>
                <w:sz w:val="17"/>
                <w:szCs w:val="17"/>
              </w:rPr>
              <w:t>mpresarial [Sector Servicios]</w:t>
            </w:r>
          </w:p>
        </w:tc>
      </w:tr>
      <w:tr w:rsidR="00762C77" w:rsidRPr="00296E53" w14:paraId="7C0490C9" w14:textId="77777777" w:rsidTr="00CA5FDA">
        <w:trPr>
          <w:trHeight w:val="20"/>
          <w:jc w:val="center"/>
        </w:trPr>
        <w:tc>
          <w:tcPr>
            <w:tcW w:w="1555" w:type="dxa"/>
            <w:shd w:val="clear" w:color="auto" w:fill="auto"/>
            <w:noWrap/>
            <w:vAlign w:val="center"/>
            <w:hideMark/>
          </w:tcPr>
          <w:p w14:paraId="45759A3E"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EMS</w:t>
            </w:r>
          </w:p>
        </w:tc>
        <w:tc>
          <w:tcPr>
            <w:tcW w:w="8510" w:type="dxa"/>
            <w:shd w:val="clear" w:color="auto" w:fill="auto"/>
            <w:noWrap/>
            <w:vAlign w:val="center"/>
            <w:hideMark/>
          </w:tcPr>
          <w:p w14:paraId="4BAB0C52" w14:textId="6ED1686F" w:rsidR="00762C77" w:rsidRPr="00DE0624" w:rsidRDefault="00762C77" w:rsidP="00CA5FDA">
            <w:pPr>
              <w:spacing w:before="60" w:after="60" w:line="240" w:lineRule="auto"/>
              <w:rPr>
                <w:rFonts w:ascii="Century Gothic" w:eastAsia="Times New Roman" w:hAnsi="Century Gothic" w:cs="Calibri"/>
                <w:sz w:val="17"/>
                <w:szCs w:val="17"/>
                <w:lang w:val="en-US"/>
              </w:rPr>
            </w:pPr>
            <w:proofErr w:type="spellStart"/>
            <w:r w:rsidRPr="00DE0624">
              <w:rPr>
                <w:rFonts w:ascii="Century Gothic" w:eastAsia="Times New Roman" w:hAnsi="Century Gothic" w:cs="Calibri"/>
                <w:sz w:val="17"/>
                <w:szCs w:val="17"/>
                <w:lang w:val="en-US"/>
              </w:rPr>
              <w:t>Encuesta</w:t>
            </w:r>
            <w:proofErr w:type="spellEnd"/>
            <w:r w:rsidRPr="00DE0624">
              <w:rPr>
                <w:rFonts w:ascii="Century Gothic" w:eastAsia="Times New Roman" w:hAnsi="Century Gothic" w:cs="Calibri"/>
                <w:sz w:val="17"/>
                <w:szCs w:val="17"/>
                <w:lang w:val="en-US"/>
              </w:rPr>
              <w:t xml:space="preserve"> </w:t>
            </w:r>
            <w:proofErr w:type="spellStart"/>
            <w:r w:rsidRPr="00DE0624">
              <w:rPr>
                <w:rFonts w:ascii="Century Gothic" w:eastAsia="Times New Roman" w:hAnsi="Century Gothic" w:cs="Calibri"/>
                <w:sz w:val="17"/>
                <w:szCs w:val="17"/>
                <w:lang w:val="en-US"/>
              </w:rPr>
              <w:t>Mensual</w:t>
            </w:r>
            <w:proofErr w:type="spellEnd"/>
            <w:r w:rsidRPr="00DE0624">
              <w:rPr>
                <w:rFonts w:ascii="Century Gothic" w:eastAsia="Times New Roman" w:hAnsi="Century Gothic" w:cs="Calibri"/>
                <w:sz w:val="17"/>
                <w:szCs w:val="17"/>
                <w:lang w:val="en-US"/>
              </w:rPr>
              <w:t xml:space="preserve"> de </w:t>
            </w:r>
            <w:proofErr w:type="spellStart"/>
            <w:r w:rsidR="005340F6" w:rsidRPr="00DE0624">
              <w:rPr>
                <w:rFonts w:ascii="Century Gothic" w:eastAsia="Times New Roman" w:hAnsi="Century Gothic" w:cs="Calibri"/>
                <w:sz w:val="17"/>
                <w:szCs w:val="17"/>
                <w:lang w:val="en-US"/>
              </w:rPr>
              <w:t>S</w:t>
            </w:r>
            <w:r w:rsidRPr="00DE0624">
              <w:rPr>
                <w:rFonts w:ascii="Century Gothic" w:eastAsia="Times New Roman" w:hAnsi="Century Gothic" w:cs="Calibri"/>
                <w:sz w:val="17"/>
                <w:szCs w:val="17"/>
                <w:lang w:val="en-US"/>
              </w:rPr>
              <w:t>ervicios</w:t>
            </w:r>
            <w:proofErr w:type="spellEnd"/>
          </w:p>
        </w:tc>
      </w:tr>
      <w:tr w:rsidR="00762C77" w:rsidRPr="00296E53" w14:paraId="76F3200C" w14:textId="77777777" w:rsidTr="00CA5FDA">
        <w:trPr>
          <w:trHeight w:val="20"/>
          <w:jc w:val="center"/>
        </w:trPr>
        <w:tc>
          <w:tcPr>
            <w:tcW w:w="1555" w:type="dxa"/>
            <w:shd w:val="clear" w:color="auto" w:fill="auto"/>
            <w:noWrap/>
            <w:vAlign w:val="center"/>
            <w:hideMark/>
          </w:tcPr>
          <w:p w14:paraId="5633578B"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 xml:space="preserve">ENADID </w:t>
            </w:r>
          </w:p>
        </w:tc>
        <w:tc>
          <w:tcPr>
            <w:tcW w:w="8510" w:type="dxa"/>
            <w:shd w:val="clear" w:color="auto" w:fill="auto"/>
            <w:noWrap/>
            <w:vAlign w:val="center"/>
            <w:hideMark/>
          </w:tcPr>
          <w:p w14:paraId="0AB25853"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la Dinámica Demográfica</w:t>
            </w:r>
          </w:p>
        </w:tc>
      </w:tr>
      <w:tr w:rsidR="00D45B6A" w:rsidRPr="00296E53" w14:paraId="1AF0CAC9" w14:textId="77777777" w:rsidTr="00CA5FDA">
        <w:trPr>
          <w:trHeight w:val="20"/>
          <w:jc w:val="center"/>
        </w:trPr>
        <w:tc>
          <w:tcPr>
            <w:tcW w:w="1555" w:type="dxa"/>
            <w:shd w:val="clear" w:color="auto" w:fill="auto"/>
            <w:noWrap/>
            <w:vAlign w:val="center"/>
          </w:tcPr>
          <w:p w14:paraId="395D9E63" w14:textId="2505AA5B" w:rsidR="00D45B6A" w:rsidRPr="00DE0624" w:rsidRDefault="00D45B6A" w:rsidP="00CA5FDA">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ENAID</w:t>
            </w:r>
          </w:p>
        </w:tc>
        <w:tc>
          <w:tcPr>
            <w:tcW w:w="8510" w:type="dxa"/>
            <w:shd w:val="clear" w:color="auto" w:fill="auto"/>
            <w:noWrap/>
            <w:vAlign w:val="center"/>
          </w:tcPr>
          <w:p w14:paraId="579219B3" w14:textId="5E350EBC" w:rsidR="00D45B6A" w:rsidRPr="00DE0624" w:rsidRDefault="00D45B6A"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Acceso a la Información Pública y Protección de Datos Personales</w:t>
            </w:r>
          </w:p>
        </w:tc>
      </w:tr>
      <w:tr w:rsidR="00762C77" w:rsidRPr="00296E53" w14:paraId="2ACEE995" w14:textId="77777777" w:rsidTr="00CA5FDA">
        <w:trPr>
          <w:trHeight w:val="20"/>
          <w:jc w:val="center"/>
        </w:trPr>
        <w:tc>
          <w:tcPr>
            <w:tcW w:w="1555" w:type="dxa"/>
            <w:shd w:val="clear" w:color="auto" w:fill="auto"/>
            <w:noWrap/>
            <w:vAlign w:val="center"/>
            <w:hideMark/>
          </w:tcPr>
          <w:p w14:paraId="68215987"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ENAFIN</w:t>
            </w:r>
          </w:p>
        </w:tc>
        <w:tc>
          <w:tcPr>
            <w:tcW w:w="8510" w:type="dxa"/>
            <w:shd w:val="clear" w:color="auto" w:fill="auto"/>
            <w:noWrap/>
            <w:vAlign w:val="center"/>
            <w:hideMark/>
          </w:tcPr>
          <w:p w14:paraId="627482E8"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Financiamiento de las Empresas</w:t>
            </w:r>
          </w:p>
        </w:tc>
      </w:tr>
      <w:tr w:rsidR="00762C77" w:rsidRPr="00296E53" w14:paraId="5B11AB73" w14:textId="77777777" w:rsidTr="00CA5FDA">
        <w:trPr>
          <w:trHeight w:val="20"/>
          <w:jc w:val="center"/>
        </w:trPr>
        <w:tc>
          <w:tcPr>
            <w:tcW w:w="1555" w:type="dxa"/>
            <w:shd w:val="clear" w:color="auto" w:fill="auto"/>
            <w:noWrap/>
            <w:vAlign w:val="center"/>
            <w:hideMark/>
          </w:tcPr>
          <w:p w14:paraId="5EE3B0CD"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ENAPROCE</w:t>
            </w:r>
          </w:p>
        </w:tc>
        <w:tc>
          <w:tcPr>
            <w:tcW w:w="8510" w:type="dxa"/>
            <w:shd w:val="clear" w:color="auto" w:fill="auto"/>
            <w:noWrap/>
            <w:vAlign w:val="center"/>
            <w:hideMark/>
          </w:tcPr>
          <w:p w14:paraId="600280BD"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sobre Productividad y Competitividad de las Empresas</w:t>
            </w:r>
          </w:p>
        </w:tc>
      </w:tr>
      <w:tr w:rsidR="00D45B6A" w:rsidRPr="00296E53" w14:paraId="10BF78F0" w14:textId="77777777" w:rsidTr="00CA5FDA">
        <w:trPr>
          <w:trHeight w:val="20"/>
          <w:jc w:val="center"/>
        </w:trPr>
        <w:tc>
          <w:tcPr>
            <w:tcW w:w="1555" w:type="dxa"/>
            <w:shd w:val="clear" w:color="auto" w:fill="auto"/>
            <w:noWrap/>
            <w:vAlign w:val="center"/>
          </w:tcPr>
          <w:p w14:paraId="290FA53C" w14:textId="27239CD0" w:rsidR="00D45B6A" w:rsidRPr="00DE0624" w:rsidRDefault="00D45B6A" w:rsidP="00CA5FDA">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ENASEM</w:t>
            </w:r>
          </w:p>
        </w:tc>
        <w:tc>
          <w:tcPr>
            <w:tcW w:w="8510" w:type="dxa"/>
            <w:shd w:val="clear" w:color="auto" w:fill="auto"/>
            <w:noWrap/>
            <w:vAlign w:val="center"/>
          </w:tcPr>
          <w:p w14:paraId="5842ABA3" w14:textId="1BDB1A64" w:rsidR="00D45B6A" w:rsidRPr="00DE0624" w:rsidRDefault="00D45B6A"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sobre Salud y Envejecimiento en México</w:t>
            </w:r>
          </w:p>
        </w:tc>
      </w:tr>
      <w:tr w:rsidR="00D45B6A" w:rsidRPr="00296E53" w14:paraId="2FE2F301" w14:textId="77777777" w:rsidTr="00CA5FDA">
        <w:trPr>
          <w:trHeight w:val="20"/>
          <w:jc w:val="center"/>
        </w:trPr>
        <w:tc>
          <w:tcPr>
            <w:tcW w:w="1555" w:type="dxa"/>
            <w:shd w:val="clear" w:color="auto" w:fill="auto"/>
            <w:noWrap/>
            <w:vAlign w:val="center"/>
          </w:tcPr>
          <w:p w14:paraId="3E07E1F3" w14:textId="3A9BB484" w:rsidR="00D45B6A" w:rsidRPr="00DE0624" w:rsidRDefault="00D45B6A" w:rsidP="00CA5FDA">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ENSANUT</w:t>
            </w:r>
          </w:p>
        </w:tc>
        <w:tc>
          <w:tcPr>
            <w:tcW w:w="8510" w:type="dxa"/>
            <w:shd w:val="clear" w:color="auto" w:fill="auto"/>
            <w:noWrap/>
            <w:vAlign w:val="center"/>
          </w:tcPr>
          <w:p w14:paraId="4F73FDF8" w14:textId="3E290509" w:rsidR="00D45B6A" w:rsidRPr="00DE0624" w:rsidRDefault="00D45B6A"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Salud y Nutrición</w:t>
            </w:r>
          </w:p>
        </w:tc>
      </w:tr>
      <w:tr w:rsidR="00762C77" w:rsidRPr="00296E53" w14:paraId="6B9D3742" w14:textId="77777777" w:rsidTr="00CA5FDA">
        <w:trPr>
          <w:trHeight w:val="20"/>
          <w:jc w:val="center"/>
        </w:trPr>
        <w:tc>
          <w:tcPr>
            <w:tcW w:w="1555" w:type="dxa"/>
            <w:shd w:val="clear" w:color="auto" w:fill="auto"/>
            <w:noWrap/>
            <w:vAlign w:val="center"/>
            <w:hideMark/>
          </w:tcPr>
          <w:p w14:paraId="4FEB3DFB"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ENASJUP</w:t>
            </w:r>
          </w:p>
        </w:tc>
        <w:tc>
          <w:tcPr>
            <w:tcW w:w="8510" w:type="dxa"/>
            <w:shd w:val="clear" w:color="auto" w:fill="auto"/>
            <w:noWrap/>
            <w:vAlign w:val="center"/>
            <w:hideMark/>
          </w:tcPr>
          <w:p w14:paraId="0EB5B2E8"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Adolescentes en el Sistema de Justicia Penal</w:t>
            </w:r>
          </w:p>
        </w:tc>
      </w:tr>
      <w:tr w:rsidR="00762C77" w:rsidRPr="00296E53" w14:paraId="50153E74" w14:textId="77777777" w:rsidTr="00CA5FDA">
        <w:trPr>
          <w:trHeight w:val="20"/>
          <w:jc w:val="center"/>
        </w:trPr>
        <w:tc>
          <w:tcPr>
            <w:tcW w:w="1555" w:type="dxa"/>
            <w:shd w:val="clear" w:color="auto" w:fill="auto"/>
            <w:noWrap/>
            <w:vAlign w:val="center"/>
            <w:hideMark/>
          </w:tcPr>
          <w:p w14:paraId="095DDC09"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ENCO</w:t>
            </w:r>
          </w:p>
        </w:tc>
        <w:tc>
          <w:tcPr>
            <w:tcW w:w="8510" w:type="dxa"/>
            <w:shd w:val="clear" w:color="auto" w:fill="auto"/>
            <w:noWrap/>
            <w:vAlign w:val="center"/>
            <w:hideMark/>
          </w:tcPr>
          <w:p w14:paraId="70CEFEE3"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sobre Confianza del Consumidor</w:t>
            </w:r>
          </w:p>
        </w:tc>
      </w:tr>
      <w:tr w:rsidR="00762C77" w:rsidRPr="00296E53" w14:paraId="7E4737E3" w14:textId="77777777" w:rsidTr="00CA5FDA">
        <w:trPr>
          <w:trHeight w:val="20"/>
          <w:jc w:val="center"/>
        </w:trPr>
        <w:tc>
          <w:tcPr>
            <w:tcW w:w="1555" w:type="dxa"/>
            <w:shd w:val="clear" w:color="auto" w:fill="auto"/>
            <w:noWrap/>
            <w:vAlign w:val="center"/>
            <w:hideMark/>
          </w:tcPr>
          <w:p w14:paraId="5A09C8DF"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ENDUTIH</w:t>
            </w:r>
          </w:p>
        </w:tc>
        <w:tc>
          <w:tcPr>
            <w:tcW w:w="8510" w:type="dxa"/>
            <w:shd w:val="clear" w:color="auto" w:fill="auto"/>
            <w:noWrap/>
            <w:vAlign w:val="center"/>
            <w:hideMark/>
          </w:tcPr>
          <w:p w14:paraId="446BFFF5"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sobre Disponibilidad y uso de Tecnologías en los Hogares</w:t>
            </w:r>
          </w:p>
        </w:tc>
      </w:tr>
      <w:tr w:rsidR="00762C77" w:rsidRPr="00296E53" w14:paraId="7B32E9C4" w14:textId="77777777" w:rsidTr="00CA5FDA">
        <w:trPr>
          <w:trHeight w:val="20"/>
          <w:jc w:val="center"/>
        </w:trPr>
        <w:tc>
          <w:tcPr>
            <w:tcW w:w="1555" w:type="dxa"/>
            <w:shd w:val="clear" w:color="auto" w:fill="auto"/>
            <w:noWrap/>
            <w:vAlign w:val="center"/>
            <w:hideMark/>
          </w:tcPr>
          <w:p w14:paraId="0D37F029"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ENEC</w:t>
            </w:r>
          </w:p>
        </w:tc>
        <w:tc>
          <w:tcPr>
            <w:tcW w:w="8510" w:type="dxa"/>
            <w:shd w:val="clear" w:color="auto" w:fill="auto"/>
            <w:noWrap/>
            <w:vAlign w:val="center"/>
            <w:hideMark/>
          </w:tcPr>
          <w:p w14:paraId="36050F90" w14:textId="7350121E"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w:t>
            </w:r>
            <w:r w:rsidR="00D45B6A" w:rsidRPr="00DE0624">
              <w:rPr>
                <w:rFonts w:ascii="Century Gothic" w:eastAsia="Times New Roman" w:hAnsi="Century Gothic" w:cs="Calibri"/>
                <w:sz w:val="17"/>
                <w:szCs w:val="17"/>
              </w:rPr>
              <w:t>Nacional</w:t>
            </w:r>
            <w:r w:rsidRPr="00DE0624">
              <w:rPr>
                <w:rFonts w:ascii="Century Gothic" w:eastAsia="Times New Roman" w:hAnsi="Century Gothic" w:cs="Calibri"/>
                <w:sz w:val="17"/>
                <w:szCs w:val="17"/>
              </w:rPr>
              <w:t xml:space="preserve"> de Empresas Constructoras</w:t>
            </w:r>
          </w:p>
        </w:tc>
      </w:tr>
      <w:tr w:rsidR="00762C77" w:rsidRPr="00296E53" w14:paraId="608200A0" w14:textId="77777777" w:rsidTr="00CA5FDA">
        <w:trPr>
          <w:trHeight w:val="20"/>
          <w:jc w:val="center"/>
        </w:trPr>
        <w:tc>
          <w:tcPr>
            <w:tcW w:w="1555" w:type="dxa"/>
            <w:shd w:val="clear" w:color="auto" w:fill="auto"/>
            <w:noWrap/>
            <w:vAlign w:val="center"/>
            <w:hideMark/>
          </w:tcPr>
          <w:p w14:paraId="6B3EF7F7"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ENH</w:t>
            </w:r>
          </w:p>
        </w:tc>
        <w:tc>
          <w:tcPr>
            <w:tcW w:w="8510" w:type="dxa"/>
            <w:shd w:val="clear" w:color="auto" w:fill="auto"/>
            <w:noWrap/>
            <w:vAlign w:val="center"/>
            <w:hideMark/>
          </w:tcPr>
          <w:p w14:paraId="69BBB0FE"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los Hogares</w:t>
            </w:r>
          </w:p>
        </w:tc>
      </w:tr>
      <w:tr w:rsidR="00762C77" w:rsidRPr="00296E53" w14:paraId="6C3D2E76" w14:textId="77777777" w:rsidTr="00CA5FDA">
        <w:trPr>
          <w:trHeight w:val="20"/>
          <w:jc w:val="center"/>
        </w:trPr>
        <w:tc>
          <w:tcPr>
            <w:tcW w:w="1555" w:type="dxa"/>
            <w:shd w:val="clear" w:color="auto" w:fill="auto"/>
            <w:noWrap/>
            <w:vAlign w:val="center"/>
            <w:hideMark/>
          </w:tcPr>
          <w:p w14:paraId="765ED9BB"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ENIF</w:t>
            </w:r>
          </w:p>
        </w:tc>
        <w:tc>
          <w:tcPr>
            <w:tcW w:w="8510" w:type="dxa"/>
            <w:shd w:val="clear" w:color="auto" w:fill="auto"/>
            <w:noWrap/>
            <w:vAlign w:val="center"/>
            <w:hideMark/>
          </w:tcPr>
          <w:p w14:paraId="2FD3D272"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Inclusión Financiera</w:t>
            </w:r>
          </w:p>
        </w:tc>
      </w:tr>
      <w:tr w:rsidR="00762C77" w:rsidRPr="00296E53" w14:paraId="29C5C46B" w14:textId="77777777" w:rsidTr="00CA5FDA">
        <w:trPr>
          <w:trHeight w:val="20"/>
          <w:jc w:val="center"/>
        </w:trPr>
        <w:tc>
          <w:tcPr>
            <w:tcW w:w="1555" w:type="dxa"/>
            <w:shd w:val="clear" w:color="auto" w:fill="auto"/>
            <w:noWrap/>
            <w:vAlign w:val="center"/>
            <w:hideMark/>
          </w:tcPr>
          <w:p w14:paraId="022C56EA"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ENIGH</w:t>
            </w:r>
          </w:p>
        </w:tc>
        <w:tc>
          <w:tcPr>
            <w:tcW w:w="8510" w:type="dxa"/>
            <w:shd w:val="clear" w:color="auto" w:fill="auto"/>
            <w:noWrap/>
            <w:vAlign w:val="center"/>
            <w:hideMark/>
          </w:tcPr>
          <w:p w14:paraId="7A0EEDCD"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Ingresos y Gastos de los Hogares</w:t>
            </w:r>
          </w:p>
        </w:tc>
      </w:tr>
      <w:tr w:rsidR="00762C77" w:rsidRPr="00296E53" w14:paraId="05646E6B" w14:textId="77777777" w:rsidTr="00CA5FDA">
        <w:trPr>
          <w:trHeight w:val="20"/>
          <w:jc w:val="center"/>
        </w:trPr>
        <w:tc>
          <w:tcPr>
            <w:tcW w:w="1555" w:type="dxa"/>
            <w:shd w:val="clear" w:color="auto" w:fill="auto"/>
            <w:noWrap/>
            <w:vAlign w:val="center"/>
            <w:hideMark/>
          </w:tcPr>
          <w:p w14:paraId="230CF97D"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ENOE</w:t>
            </w:r>
          </w:p>
        </w:tc>
        <w:tc>
          <w:tcPr>
            <w:tcW w:w="8510" w:type="dxa"/>
            <w:shd w:val="clear" w:color="auto" w:fill="auto"/>
            <w:noWrap/>
            <w:vAlign w:val="center"/>
            <w:hideMark/>
          </w:tcPr>
          <w:p w14:paraId="43CC083A"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Ocupación y Empleo (ENOE), población de 15 años y más de edad</w:t>
            </w:r>
          </w:p>
        </w:tc>
      </w:tr>
      <w:tr w:rsidR="00762C77" w:rsidRPr="00296E53" w14:paraId="4711B60F" w14:textId="77777777" w:rsidTr="00CA5FDA">
        <w:trPr>
          <w:trHeight w:val="20"/>
          <w:jc w:val="center"/>
        </w:trPr>
        <w:tc>
          <w:tcPr>
            <w:tcW w:w="1555" w:type="dxa"/>
            <w:shd w:val="clear" w:color="auto" w:fill="auto"/>
            <w:noWrap/>
            <w:vAlign w:val="center"/>
            <w:hideMark/>
          </w:tcPr>
          <w:p w14:paraId="78ECAE13"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ENSU</w:t>
            </w:r>
          </w:p>
        </w:tc>
        <w:tc>
          <w:tcPr>
            <w:tcW w:w="8510" w:type="dxa"/>
            <w:shd w:val="clear" w:color="auto" w:fill="auto"/>
            <w:noWrap/>
            <w:vAlign w:val="center"/>
            <w:hideMark/>
          </w:tcPr>
          <w:p w14:paraId="2ADEF961"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Nacional de Seguridad Pública Urbana </w:t>
            </w:r>
          </w:p>
        </w:tc>
      </w:tr>
      <w:tr w:rsidR="00762C77" w:rsidRPr="00296E53" w14:paraId="597BD7EF" w14:textId="77777777" w:rsidTr="00CA5FDA">
        <w:trPr>
          <w:trHeight w:val="20"/>
          <w:jc w:val="center"/>
        </w:trPr>
        <w:tc>
          <w:tcPr>
            <w:tcW w:w="1555" w:type="dxa"/>
            <w:shd w:val="clear" w:color="auto" w:fill="auto"/>
            <w:noWrap/>
            <w:vAlign w:val="center"/>
            <w:hideMark/>
          </w:tcPr>
          <w:p w14:paraId="0D8243A8"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ENVE</w:t>
            </w:r>
          </w:p>
        </w:tc>
        <w:tc>
          <w:tcPr>
            <w:tcW w:w="8510" w:type="dxa"/>
            <w:shd w:val="clear" w:color="auto" w:fill="auto"/>
            <w:noWrap/>
            <w:vAlign w:val="center"/>
            <w:hideMark/>
          </w:tcPr>
          <w:p w14:paraId="596A2E37"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Victimización de Empresas</w:t>
            </w:r>
          </w:p>
        </w:tc>
      </w:tr>
      <w:tr w:rsidR="00762C77" w:rsidRPr="00296E53" w14:paraId="07B89C14" w14:textId="77777777" w:rsidTr="00CA5FDA">
        <w:trPr>
          <w:trHeight w:val="20"/>
          <w:jc w:val="center"/>
        </w:trPr>
        <w:tc>
          <w:tcPr>
            <w:tcW w:w="1555" w:type="dxa"/>
            <w:shd w:val="clear" w:color="auto" w:fill="auto"/>
            <w:noWrap/>
            <w:vAlign w:val="center"/>
            <w:hideMark/>
          </w:tcPr>
          <w:p w14:paraId="7F17D180"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ENVIPE</w:t>
            </w:r>
          </w:p>
        </w:tc>
        <w:tc>
          <w:tcPr>
            <w:tcW w:w="8510" w:type="dxa"/>
            <w:shd w:val="clear" w:color="auto" w:fill="auto"/>
            <w:noWrap/>
            <w:vAlign w:val="center"/>
            <w:hideMark/>
          </w:tcPr>
          <w:p w14:paraId="4FCD07FF"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Victimización y Percepción sobre Seguridad Pública</w:t>
            </w:r>
          </w:p>
        </w:tc>
      </w:tr>
      <w:tr w:rsidR="00DE0624" w:rsidRPr="00296E53" w14:paraId="26F69E3B" w14:textId="77777777" w:rsidTr="00CA5FDA">
        <w:trPr>
          <w:trHeight w:val="20"/>
          <w:jc w:val="center"/>
        </w:trPr>
        <w:tc>
          <w:tcPr>
            <w:tcW w:w="1555" w:type="dxa"/>
            <w:shd w:val="clear" w:color="auto" w:fill="auto"/>
            <w:noWrap/>
            <w:vAlign w:val="center"/>
          </w:tcPr>
          <w:p w14:paraId="524552EE" w14:textId="537C6FCD"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ERLJN</w:t>
            </w:r>
          </w:p>
        </w:tc>
        <w:tc>
          <w:tcPr>
            <w:tcW w:w="8510" w:type="dxa"/>
            <w:shd w:val="clear" w:color="auto" w:fill="auto"/>
            <w:noWrap/>
            <w:vAlign w:val="center"/>
          </w:tcPr>
          <w:p w14:paraId="488B66E1" w14:textId="67D9E9A8"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Estadísticas sobre relaciones laborales de jurisdicción local</w:t>
            </w:r>
          </w:p>
        </w:tc>
      </w:tr>
      <w:tr w:rsidR="00762C77" w:rsidRPr="00296E53" w14:paraId="2E30169B" w14:textId="77777777" w:rsidTr="00CA5FDA">
        <w:trPr>
          <w:trHeight w:val="20"/>
          <w:jc w:val="center"/>
        </w:trPr>
        <w:tc>
          <w:tcPr>
            <w:tcW w:w="1555" w:type="dxa"/>
            <w:shd w:val="clear" w:color="auto" w:fill="auto"/>
            <w:noWrap/>
            <w:vAlign w:val="center"/>
            <w:hideMark/>
          </w:tcPr>
          <w:p w14:paraId="504867F5" w14:textId="77777777" w:rsidR="00762C77" w:rsidRPr="00DE0624" w:rsidRDefault="00762C77" w:rsidP="00CA5FDA">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ERGNP</w:t>
            </w:r>
          </w:p>
        </w:tc>
        <w:tc>
          <w:tcPr>
            <w:tcW w:w="8510" w:type="dxa"/>
            <w:shd w:val="clear" w:color="auto" w:fill="auto"/>
            <w:noWrap/>
            <w:vAlign w:val="center"/>
            <w:hideMark/>
          </w:tcPr>
          <w:p w14:paraId="04C900CB"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Estaciones de la Red Geodésica Nacional Pasiva</w:t>
            </w:r>
          </w:p>
        </w:tc>
      </w:tr>
      <w:tr w:rsidR="00762C77" w:rsidRPr="00296E53" w14:paraId="42355865" w14:textId="77777777" w:rsidTr="00CA5FDA">
        <w:trPr>
          <w:trHeight w:val="20"/>
          <w:jc w:val="center"/>
        </w:trPr>
        <w:tc>
          <w:tcPr>
            <w:tcW w:w="1555" w:type="dxa"/>
            <w:shd w:val="clear" w:color="auto" w:fill="auto"/>
            <w:noWrap/>
            <w:vAlign w:val="center"/>
            <w:hideMark/>
          </w:tcPr>
          <w:p w14:paraId="05E00E41"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ESGRM</w:t>
            </w:r>
          </w:p>
        </w:tc>
        <w:tc>
          <w:tcPr>
            <w:tcW w:w="8510" w:type="dxa"/>
            <w:shd w:val="clear" w:color="auto" w:fill="auto"/>
            <w:noWrap/>
            <w:vAlign w:val="center"/>
            <w:hideMark/>
          </w:tcPr>
          <w:p w14:paraId="7F8F9433"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Estadísticas de Sacrificio de Ganado en Rastros Municipales (Anual)</w:t>
            </w:r>
          </w:p>
        </w:tc>
      </w:tr>
      <w:tr w:rsidR="00762C77" w:rsidRPr="00296E53" w14:paraId="10757CF1" w14:textId="77777777" w:rsidTr="00CA5FDA">
        <w:trPr>
          <w:trHeight w:val="20"/>
          <w:jc w:val="center"/>
        </w:trPr>
        <w:tc>
          <w:tcPr>
            <w:tcW w:w="1555" w:type="dxa"/>
            <w:shd w:val="clear" w:color="auto" w:fill="auto"/>
            <w:noWrap/>
            <w:vAlign w:val="center"/>
            <w:hideMark/>
          </w:tcPr>
          <w:p w14:paraId="138CFBE0"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ESIDET</w:t>
            </w:r>
          </w:p>
        </w:tc>
        <w:tc>
          <w:tcPr>
            <w:tcW w:w="8510" w:type="dxa"/>
            <w:shd w:val="clear" w:color="auto" w:fill="auto"/>
            <w:noWrap/>
            <w:vAlign w:val="center"/>
            <w:hideMark/>
          </w:tcPr>
          <w:p w14:paraId="22A78A68"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Sobre Investigación y Desarrollo Tecnológico</w:t>
            </w:r>
          </w:p>
        </w:tc>
      </w:tr>
      <w:tr w:rsidR="00762C77" w:rsidRPr="00296E53" w14:paraId="6E03D3BD" w14:textId="77777777" w:rsidTr="00CA5FDA">
        <w:trPr>
          <w:trHeight w:val="20"/>
          <w:jc w:val="center"/>
        </w:trPr>
        <w:tc>
          <w:tcPr>
            <w:tcW w:w="1555" w:type="dxa"/>
            <w:shd w:val="clear" w:color="auto" w:fill="auto"/>
            <w:noWrap/>
            <w:vAlign w:val="center"/>
            <w:hideMark/>
          </w:tcPr>
          <w:p w14:paraId="0646F622"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IIMM</w:t>
            </w:r>
          </w:p>
        </w:tc>
        <w:tc>
          <w:tcPr>
            <w:tcW w:w="8510" w:type="dxa"/>
            <w:shd w:val="clear" w:color="auto" w:fill="auto"/>
            <w:noWrap/>
            <w:vAlign w:val="center"/>
            <w:hideMark/>
          </w:tcPr>
          <w:p w14:paraId="6B5D1BE3"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Indicadores de la industria </w:t>
            </w:r>
            <w:proofErr w:type="spellStart"/>
            <w:r w:rsidRPr="00DE0624">
              <w:rPr>
                <w:rFonts w:ascii="Century Gothic" w:eastAsia="Times New Roman" w:hAnsi="Century Gothic" w:cs="Calibri"/>
                <w:sz w:val="17"/>
                <w:szCs w:val="17"/>
              </w:rPr>
              <w:t>Minerometalúrgica</w:t>
            </w:r>
            <w:proofErr w:type="spellEnd"/>
          </w:p>
        </w:tc>
      </w:tr>
      <w:tr w:rsidR="00DE0624" w:rsidRPr="00296E53" w14:paraId="0F2F0F4E" w14:textId="77777777" w:rsidTr="00CA5FDA">
        <w:trPr>
          <w:trHeight w:val="20"/>
          <w:jc w:val="center"/>
        </w:trPr>
        <w:tc>
          <w:tcPr>
            <w:tcW w:w="1555" w:type="dxa"/>
            <w:shd w:val="clear" w:color="auto" w:fill="auto"/>
            <w:noWrap/>
            <w:vAlign w:val="center"/>
          </w:tcPr>
          <w:p w14:paraId="5BDD1362" w14:textId="19FC3888"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ITAB</w:t>
            </w:r>
          </w:p>
        </w:tc>
        <w:tc>
          <w:tcPr>
            <w:tcW w:w="8510" w:type="dxa"/>
            <w:shd w:val="clear" w:color="auto" w:fill="auto"/>
            <w:noWrap/>
            <w:vAlign w:val="center"/>
          </w:tcPr>
          <w:p w14:paraId="4B3D7144" w14:textId="7C118B60"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Indicador Trimestral de Ahorro Bruto</w:t>
            </w:r>
          </w:p>
        </w:tc>
      </w:tr>
      <w:tr w:rsidR="00DE0624" w:rsidRPr="00296E53" w14:paraId="3CE87B26" w14:textId="77777777" w:rsidTr="00CA5FDA">
        <w:trPr>
          <w:trHeight w:val="20"/>
          <w:jc w:val="center"/>
        </w:trPr>
        <w:tc>
          <w:tcPr>
            <w:tcW w:w="1555" w:type="dxa"/>
            <w:shd w:val="clear" w:color="auto" w:fill="auto"/>
            <w:noWrap/>
            <w:vAlign w:val="center"/>
          </w:tcPr>
          <w:p w14:paraId="5EE9651F" w14:textId="481CD723"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INPC</w:t>
            </w:r>
          </w:p>
        </w:tc>
        <w:tc>
          <w:tcPr>
            <w:tcW w:w="8510" w:type="dxa"/>
            <w:shd w:val="clear" w:color="auto" w:fill="auto"/>
            <w:noWrap/>
            <w:vAlign w:val="center"/>
          </w:tcPr>
          <w:p w14:paraId="3AD94994" w14:textId="15763DE6"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Índice Nacional de Precios Consumidor</w:t>
            </w:r>
          </w:p>
        </w:tc>
      </w:tr>
      <w:tr w:rsidR="00DE0624" w:rsidRPr="00296E53" w14:paraId="205FE675" w14:textId="77777777" w:rsidTr="00CA5FDA">
        <w:trPr>
          <w:trHeight w:val="20"/>
          <w:jc w:val="center"/>
        </w:trPr>
        <w:tc>
          <w:tcPr>
            <w:tcW w:w="1555" w:type="dxa"/>
            <w:shd w:val="clear" w:color="auto" w:fill="auto"/>
            <w:noWrap/>
            <w:vAlign w:val="center"/>
          </w:tcPr>
          <w:p w14:paraId="0A402245" w14:textId="74314E68"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INPP</w:t>
            </w:r>
          </w:p>
        </w:tc>
        <w:tc>
          <w:tcPr>
            <w:tcW w:w="8510" w:type="dxa"/>
            <w:shd w:val="clear" w:color="auto" w:fill="auto"/>
            <w:noWrap/>
            <w:vAlign w:val="center"/>
          </w:tcPr>
          <w:p w14:paraId="596F5D6C" w14:textId="2299F248"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Índice Nacional de Precios Productor</w:t>
            </w:r>
          </w:p>
        </w:tc>
      </w:tr>
      <w:tr w:rsidR="00DE0624" w:rsidRPr="00296E53" w14:paraId="1468D062" w14:textId="77777777" w:rsidTr="00CA5FDA">
        <w:trPr>
          <w:trHeight w:val="20"/>
          <w:jc w:val="center"/>
        </w:trPr>
        <w:tc>
          <w:tcPr>
            <w:tcW w:w="1555" w:type="dxa"/>
            <w:shd w:val="clear" w:color="auto" w:fill="auto"/>
            <w:noWrap/>
            <w:vAlign w:val="center"/>
          </w:tcPr>
          <w:p w14:paraId="4D5A1C1A" w14:textId="06F0696F"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MG</w:t>
            </w:r>
          </w:p>
        </w:tc>
        <w:tc>
          <w:tcPr>
            <w:tcW w:w="8510" w:type="dxa"/>
            <w:shd w:val="clear" w:color="auto" w:fill="auto"/>
            <w:noWrap/>
            <w:vAlign w:val="center"/>
          </w:tcPr>
          <w:p w14:paraId="14F4F507" w14:textId="5009806B"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Marco Geoestadístico Nacional</w:t>
            </w:r>
          </w:p>
        </w:tc>
      </w:tr>
      <w:tr w:rsidR="00DE0624" w:rsidRPr="00296E53" w14:paraId="391E9FBB" w14:textId="77777777" w:rsidTr="00CA5FDA">
        <w:trPr>
          <w:trHeight w:val="20"/>
          <w:jc w:val="center"/>
        </w:trPr>
        <w:tc>
          <w:tcPr>
            <w:tcW w:w="1555" w:type="dxa"/>
            <w:shd w:val="clear" w:color="auto" w:fill="auto"/>
            <w:noWrap/>
            <w:vAlign w:val="center"/>
          </w:tcPr>
          <w:p w14:paraId="6DEA027D" w14:textId="17907273"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MRG</w:t>
            </w:r>
          </w:p>
        </w:tc>
        <w:tc>
          <w:tcPr>
            <w:tcW w:w="8510" w:type="dxa"/>
            <w:shd w:val="clear" w:color="auto" w:fill="auto"/>
            <w:noWrap/>
            <w:vAlign w:val="center"/>
          </w:tcPr>
          <w:p w14:paraId="456E722A" w14:textId="1B8356A2"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Marco de referencia geodésico. Estaciones de la Red Geodésica Nacional Pasiva.</w:t>
            </w:r>
          </w:p>
        </w:tc>
      </w:tr>
      <w:tr w:rsidR="00DE0624" w:rsidRPr="00296E53" w14:paraId="76910BEA" w14:textId="77777777" w:rsidTr="00CA5FDA">
        <w:trPr>
          <w:trHeight w:val="20"/>
          <w:jc w:val="center"/>
        </w:trPr>
        <w:tc>
          <w:tcPr>
            <w:tcW w:w="1555" w:type="dxa"/>
            <w:shd w:val="clear" w:color="auto" w:fill="auto"/>
            <w:noWrap/>
            <w:vAlign w:val="center"/>
          </w:tcPr>
          <w:p w14:paraId="5145CA73" w14:textId="1DABE762"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MOCIBA</w:t>
            </w:r>
          </w:p>
        </w:tc>
        <w:tc>
          <w:tcPr>
            <w:tcW w:w="8510" w:type="dxa"/>
            <w:shd w:val="clear" w:color="auto" w:fill="auto"/>
            <w:noWrap/>
            <w:vAlign w:val="center"/>
          </w:tcPr>
          <w:p w14:paraId="7D746D46" w14:textId="2401B485"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Módulo sobre Ciberacoso</w:t>
            </w:r>
          </w:p>
        </w:tc>
      </w:tr>
      <w:tr w:rsidR="00DE0624" w:rsidRPr="00296E53" w14:paraId="76DE2603" w14:textId="77777777" w:rsidTr="00CA5FDA">
        <w:trPr>
          <w:trHeight w:val="20"/>
          <w:jc w:val="center"/>
        </w:trPr>
        <w:tc>
          <w:tcPr>
            <w:tcW w:w="1555" w:type="dxa"/>
            <w:shd w:val="clear" w:color="auto" w:fill="auto"/>
            <w:noWrap/>
            <w:vAlign w:val="center"/>
            <w:hideMark/>
          </w:tcPr>
          <w:p w14:paraId="23DEF8AA"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MODECULT</w:t>
            </w:r>
          </w:p>
        </w:tc>
        <w:tc>
          <w:tcPr>
            <w:tcW w:w="8510" w:type="dxa"/>
            <w:shd w:val="clear" w:color="auto" w:fill="auto"/>
            <w:noWrap/>
            <w:vAlign w:val="center"/>
            <w:hideMark/>
          </w:tcPr>
          <w:p w14:paraId="3BF6671A" w14:textId="77777777"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Módulo de Eventos Culturales Seleccionados</w:t>
            </w:r>
          </w:p>
        </w:tc>
      </w:tr>
      <w:tr w:rsidR="00DE0624" w:rsidRPr="00296E53" w14:paraId="43BD1B57" w14:textId="77777777" w:rsidTr="00CA5FDA">
        <w:trPr>
          <w:trHeight w:val="20"/>
          <w:jc w:val="center"/>
        </w:trPr>
        <w:tc>
          <w:tcPr>
            <w:tcW w:w="1555" w:type="dxa"/>
            <w:shd w:val="clear" w:color="auto" w:fill="auto"/>
            <w:noWrap/>
            <w:vAlign w:val="center"/>
            <w:hideMark/>
          </w:tcPr>
          <w:p w14:paraId="43652B90"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MOHOMA</w:t>
            </w:r>
          </w:p>
        </w:tc>
        <w:tc>
          <w:tcPr>
            <w:tcW w:w="8510" w:type="dxa"/>
            <w:shd w:val="clear" w:color="auto" w:fill="auto"/>
            <w:noWrap/>
            <w:vAlign w:val="center"/>
            <w:hideMark/>
          </w:tcPr>
          <w:p w14:paraId="1B451180" w14:textId="77777777"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Módulo de Hogares y Medio Ambiente</w:t>
            </w:r>
          </w:p>
        </w:tc>
      </w:tr>
      <w:tr w:rsidR="00DE0624" w:rsidRPr="00296E53" w14:paraId="0CCF87F1" w14:textId="77777777" w:rsidTr="00CA5FDA">
        <w:trPr>
          <w:trHeight w:val="20"/>
          <w:jc w:val="center"/>
        </w:trPr>
        <w:tc>
          <w:tcPr>
            <w:tcW w:w="1555" w:type="dxa"/>
            <w:shd w:val="clear" w:color="auto" w:fill="auto"/>
            <w:noWrap/>
            <w:vAlign w:val="center"/>
            <w:hideMark/>
          </w:tcPr>
          <w:p w14:paraId="48CEA927"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MOLEC</w:t>
            </w:r>
          </w:p>
        </w:tc>
        <w:tc>
          <w:tcPr>
            <w:tcW w:w="8510" w:type="dxa"/>
            <w:shd w:val="clear" w:color="auto" w:fill="auto"/>
            <w:noWrap/>
            <w:vAlign w:val="center"/>
            <w:hideMark/>
          </w:tcPr>
          <w:p w14:paraId="3B3C211F" w14:textId="77777777" w:rsidR="00DE0624" w:rsidRPr="00DE0624" w:rsidRDefault="00DE0624" w:rsidP="00DE0624">
            <w:pPr>
              <w:spacing w:before="60" w:after="60" w:line="240" w:lineRule="auto"/>
              <w:rPr>
                <w:rFonts w:ascii="Century Gothic" w:eastAsia="Times New Roman" w:hAnsi="Century Gothic" w:cs="Calibri"/>
                <w:sz w:val="17"/>
                <w:szCs w:val="17"/>
                <w:lang w:val="en-US"/>
              </w:rPr>
            </w:pPr>
            <w:proofErr w:type="spellStart"/>
            <w:r w:rsidRPr="00DE0624">
              <w:rPr>
                <w:rFonts w:ascii="Century Gothic" w:eastAsia="Times New Roman" w:hAnsi="Century Gothic" w:cs="Calibri"/>
                <w:sz w:val="17"/>
                <w:szCs w:val="17"/>
                <w:lang w:val="en-US"/>
              </w:rPr>
              <w:t>Módulo</w:t>
            </w:r>
            <w:proofErr w:type="spellEnd"/>
            <w:r w:rsidRPr="00DE0624">
              <w:rPr>
                <w:rFonts w:ascii="Century Gothic" w:eastAsia="Times New Roman" w:hAnsi="Century Gothic" w:cs="Calibri"/>
                <w:sz w:val="17"/>
                <w:szCs w:val="17"/>
                <w:lang w:val="en-US"/>
              </w:rPr>
              <w:t xml:space="preserve"> de </w:t>
            </w:r>
            <w:proofErr w:type="spellStart"/>
            <w:r w:rsidRPr="00DE0624">
              <w:rPr>
                <w:rFonts w:ascii="Century Gothic" w:eastAsia="Times New Roman" w:hAnsi="Century Gothic" w:cs="Calibri"/>
                <w:sz w:val="17"/>
                <w:szCs w:val="17"/>
                <w:lang w:val="en-US"/>
              </w:rPr>
              <w:t>Lectura</w:t>
            </w:r>
            <w:proofErr w:type="spellEnd"/>
          </w:p>
        </w:tc>
      </w:tr>
      <w:tr w:rsidR="00DE0624" w:rsidRPr="00296E53" w14:paraId="39B67825" w14:textId="77777777" w:rsidTr="00CA5FDA">
        <w:trPr>
          <w:trHeight w:val="20"/>
          <w:jc w:val="center"/>
        </w:trPr>
        <w:tc>
          <w:tcPr>
            <w:tcW w:w="1555" w:type="dxa"/>
            <w:shd w:val="clear" w:color="auto" w:fill="auto"/>
            <w:noWrap/>
            <w:vAlign w:val="center"/>
            <w:hideMark/>
          </w:tcPr>
          <w:p w14:paraId="109EEEB0"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MOPRADEF</w:t>
            </w:r>
          </w:p>
        </w:tc>
        <w:tc>
          <w:tcPr>
            <w:tcW w:w="8510" w:type="dxa"/>
            <w:shd w:val="clear" w:color="auto" w:fill="auto"/>
            <w:noWrap/>
            <w:vAlign w:val="center"/>
            <w:hideMark/>
          </w:tcPr>
          <w:p w14:paraId="3C378A03" w14:textId="77777777"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Módulo de Práctica Deportiva y Ejercicio Físico</w:t>
            </w:r>
          </w:p>
        </w:tc>
      </w:tr>
      <w:tr w:rsidR="00DE0624" w:rsidRPr="00296E53" w14:paraId="293BDF31" w14:textId="77777777" w:rsidTr="00CA5FDA">
        <w:trPr>
          <w:trHeight w:val="20"/>
          <w:jc w:val="center"/>
        </w:trPr>
        <w:tc>
          <w:tcPr>
            <w:tcW w:w="1555" w:type="dxa"/>
            <w:shd w:val="clear" w:color="auto" w:fill="auto"/>
            <w:noWrap/>
            <w:vAlign w:val="center"/>
            <w:hideMark/>
          </w:tcPr>
          <w:p w14:paraId="282C023A"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PEEXP</w:t>
            </w:r>
          </w:p>
        </w:tc>
        <w:tc>
          <w:tcPr>
            <w:tcW w:w="8510" w:type="dxa"/>
            <w:shd w:val="clear" w:color="auto" w:fill="auto"/>
            <w:noWrap/>
            <w:vAlign w:val="center"/>
            <w:hideMark/>
          </w:tcPr>
          <w:p w14:paraId="3B5E3C4B" w14:textId="77777777" w:rsidR="00DE0624" w:rsidRPr="00DE0624" w:rsidRDefault="00DE0624" w:rsidP="00DE0624">
            <w:pPr>
              <w:spacing w:before="60" w:after="6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Perfil de Empresas Exportadoras</w:t>
            </w:r>
          </w:p>
        </w:tc>
      </w:tr>
      <w:tr w:rsidR="00DE0624" w:rsidRPr="00296E53" w14:paraId="7563908F" w14:textId="77777777" w:rsidTr="00CA5FDA">
        <w:trPr>
          <w:trHeight w:val="20"/>
          <w:jc w:val="center"/>
        </w:trPr>
        <w:tc>
          <w:tcPr>
            <w:tcW w:w="1555" w:type="dxa"/>
            <w:shd w:val="clear" w:color="auto" w:fill="auto"/>
            <w:noWrap/>
            <w:vAlign w:val="center"/>
            <w:hideMark/>
          </w:tcPr>
          <w:p w14:paraId="78EE1B63"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PIBE</w:t>
            </w:r>
          </w:p>
        </w:tc>
        <w:tc>
          <w:tcPr>
            <w:tcW w:w="8510" w:type="dxa"/>
            <w:shd w:val="clear" w:color="auto" w:fill="auto"/>
            <w:noWrap/>
            <w:vAlign w:val="center"/>
            <w:hideMark/>
          </w:tcPr>
          <w:p w14:paraId="619D94D5" w14:textId="77777777"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Producto Interno Bruto por Entidad Federativa</w:t>
            </w:r>
          </w:p>
        </w:tc>
      </w:tr>
      <w:tr w:rsidR="00DE0624" w:rsidRPr="00296E53" w14:paraId="60B15D90" w14:textId="77777777" w:rsidTr="00CA5FDA">
        <w:trPr>
          <w:trHeight w:val="20"/>
          <w:jc w:val="center"/>
        </w:trPr>
        <w:tc>
          <w:tcPr>
            <w:tcW w:w="1555" w:type="dxa"/>
            <w:shd w:val="clear" w:color="auto" w:fill="auto"/>
            <w:noWrap/>
            <w:vAlign w:val="center"/>
            <w:hideMark/>
          </w:tcPr>
          <w:p w14:paraId="07ADAE58"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PIMMEX</w:t>
            </w:r>
          </w:p>
        </w:tc>
        <w:tc>
          <w:tcPr>
            <w:tcW w:w="8510" w:type="dxa"/>
            <w:shd w:val="clear" w:color="auto" w:fill="auto"/>
            <w:noWrap/>
            <w:vAlign w:val="center"/>
            <w:hideMark/>
          </w:tcPr>
          <w:p w14:paraId="2D062B21" w14:textId="77777777"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Indicadores de Establecimiento con Programa IMMEX</w:t>
            </w:r>
          </w:p>
        </w:tc>
      </w:tr>
    </w:tbl>
    <w:p w14:paraId="0F5F4F95" w14:textId="77777777" w:rsidR="00762C77" w:rsidRPr="00296E53" w:rsidRDefault="00762C77" w:rsidP="00762C77"/>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271"/>
        <w:gridCol w:w="8794"/>
      </w:tblGrid>
      <w:tr w:rsidR="00762C77" w:rsidRPr="00296E53" w14:paraId="0272E978" w14:textId="77777777" w:rsidTr="00CA5FDA">
        <w:trPr>
          <w:trHeight w:val="20"/>
          <w:tblHeader/>
          <w:jc w:val="center"/>
        </w:trPr>
        <w:tc>
          <w:tcPr>
            <w:tcW w:w="1271" w:type="dxa"/>
            <w:shd w:val="clear" w:color="auto" w:fill="1F3864" w:themeFill="accent5" w:themeFillShade="80"/>
            <w:noWrap/>
            <w:vAlign w:val="center"/>
            <w:hideMark/>
          </w:tcPr>
          <w:p w14:paraId="567CBAAE" w14:textId="77777777" w:rsidR="00762C77" w:rsidRPr="00296E53" w:rsidRDefault="00762C77" w:rsidP="00CA5FDA">
            <w:pPr>
              <w:spacing w:after="0" w:line="240" w:lineRule="auto"/>
              <w:rPr>
                <w:rFonts w:ascii="Century Gothic" w:eastAsia="Times New Roman" w:hAnsi="Century Gothic" w:cs="Calibri"/>
                <w:b/>
                <w:color w:val="FFFFFF" w:themeColor="background1"/>
                <w:sz w:val="17"/>
                <w:szCs w:val="17"/>
                <w:lang w:val="en-US"/>
              </w:rPr>
            </w:pPr>
            <w:proofErr w:type="spellStart"/>
            <w:r w:rsidRPr="00296E53">
              <w:rPr>
                <w:rFonts w:ascii="Century Gothic" w:eastAsia="Times New Roman" w:hAnsi="Century Gothic" w:cs="Calibri"/>
                <w:b/>
                <w:color w:val="FFFFFF" w:themeColor="background1"/>
                <w:sz w:val="17"/>
                <w:szCs w:val="17"/>
                <w:lang w:val="en-US"/>
              </w:rPr>
              <w:t>Acrónimo</w:t>
            </w:r>
            <w:proofErr w:type="spellEnd"/>
          </w:p>
        </w:tc>
        <w:tc>
          <w:tcPr>
            <w:tcW w:w="8794" w:type="dxa"/>
            <w:shd w:val="clear" w:color="auto" w:fill="1F3864" w:themeFill="accent5" w:themeFillShade="80"/>
            <w:noWrap/>
            <w:vAlign w:val="center"/>
            <w:hideMark/>
          </w:tcPr>
          <w:p w14:paraId="0A127DDB" w14:textId="77777777" w:rsidR="00762C77" w:rsidRPr="00296E53" w:rsidRDefault="00762C77" w:rsidP="00CA5FDA">
            <w:pPr>
              <w:spacing w:before="60" w:after="60" w:line="240" w:lineRule="auto"/>
              <w:rPr>
                <w:rFonts w:ascii="Century Gothic" w:eastAsia="Times New Roman" w:hAnsi="Century Gothic" w:cs="Calibri"/>
                <w:b/>
                <w:color w:val="FFFFFF" w:themeColor="background1"/>
                <w:sz w:val="17"/>
                <w:szCs w:val="17"/>
                <w:lang w:val="en-US"/>
              </w:rPr>
            </w:pPr>
            <w:r w:rsidRPr="00296E53">
              <w:rPr>
                <w:rFonts w:ascii="Century Gothic" w:eastAsia="Times New Roman" w:hAnsi="Century Gothic" w:cs="Calibri"/>
                <w:b/>
                <w:color w:val="FFFFFF" w:themeColor="background1"/>
                <w:sz w:val="17"/>
                <w:szCs w:val="17"/>
                <w:lang w:val="en-US"/>
              </w:rPr>
              <w:t xml:space="preserve">Unidad </w:t>
            </w:r>
            <w:proofErr w:type="spellStart"/>
            <w:r w:rsidRPr="00296E53">
              <w:rPr>
                <w:rFonts w:ascii="Century Gothic" w:eastAsia="Times New Roman" w:hAnsi="Century Gothic" w:cs="Calibri"/>
                <w:b/>
                <w:color w:val="FFFFFF" w:themeColor="background1"/>
                <w:sz w:val="17"/>
                <w:szCs w:val="17"/>
                <w:lang w:val="en-US"/>
              </w:rPr>
              <w:t>Administrativa</w:t>
            </w:r>
            <w:proofErr w:type="spellEnd"/>
            <w:r w:rsidRPr="00296E53">
              <w:rPr>
                <w:rFonts w:ascii="Century Gothic" w:eastAsia="Times New Roman" w:hAnsi="Century Gothic" w:cs="Calibri"/>
                <w:b/>
                <w:color w:val="FFFFFF" w:themeColor="background1"/>
                <w:sz w:val="17"/>
                <w:szCs w:val="17"/>
                <w:lang w:val="en-US"/>
              </w:rPr>
              <w:t xml:space="preserve"> (UA)</w:t>
            </w:r>
          </w:p>
        </w:tc>
      </w:tr>
      <w:tr w:rsidR="00762C77" w:rsidRPr="00296E53" w14:paraId="009EE46A" w14:textId="77777777" w:rsidTr="00CA5FDA">
        <w:trPr>
          <w:trHeight w:val="20"/>
          <w:jc w:val="center"/>
        </w:trPr>
        <w:tc>
          <w:tcPr>
            <w:tcW w:w="1271" w:type="dxa"/>
            <w:shd w:val="clear" w:color="auto" w:fill="auto"/>
            <w:noWrap/>
            <w:vAlign w:val="center"/>
          </w:tcPr>
          <w:p w14:paraId="0D7348D5" w14:textId="77777777" w:rsidR="00762C77" w:rsidRPr="00296E53" w:rsidRDefault="00762C77" w:rsidP="00CA5FDA">
            <w:pPr>
              <w:spacing w:after="0" w:line="240" w:lineRule="auto"/>
              <w:rPr>
                <w:rFonts w:ascii="Century Gothic" w:eastAsia="Times New Roman" w:hAnsi="Century Gothic" w:cs="Calibri"/>
                <w:color w:val="000000"/>
                <w:sz w:val="17"/>
                <w:szCs w:val="17"/>
                <w:lang w:val="en-US"/>
              </w:rPr>
            </w:pPr>
            <w:r w:rsidRPr="00296E53">
              <w:rPr>
                <w:rFonts w:ascii="Century Gothic" w:hAnsi="Century Gothic" w:cs="Calibri"/>
                <w:color w:val="000000"/>
                <w:sz w:val="17"/>
                <w:szCs w:val="17"/>
              </w:rPr>
              <w:t>CGAJ</w:t>
            </w:r>
          </w:p>
        </w:tc>
        <w:tc>
          <w:tcPr>
            <w:tcW w:w="8794" w:type="dxa"/>
            <w:shd w:val="clear" w:color="auto" w:fill="auto"/>
            <w:noWrap/>
            <w:vAlign w:val="center"/>
          </w:tcPr>
          <w:p w14:paraId="1ABDDB9D"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Asuntos Jurídicos</w:t>
            </w:r>
          </w:p>
        </w:tc>
      </w:tr>
      <w:tr w:rsidR="00762C77" w:rsidRPr="00296E53" w14:paraId="41B3076B" w14:textId="77777777" w:rsidTr="00CA5FDA">
        <w:trPr>
          <w:trHeight w:val="20"/>
          <w:jc w:val="center"/>
        </w:trPr>
        <w:tc>
          <w:tcPr>
            <w:tcW w:w="1271" w:type="dxa"/>
            <w:shd w:val="clear" w:color="auto" w:fill="auto"/>
            <w:noWrap/>
            <w:vAlign w:val="center"/>
          </w:tcPr>
          <w:p w14:paraId="6AAD69D5"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CGI</w:t>
            </w:r>
          </w:p>
        </w:tc>
        <w:tc>
          <w:tcPr>
            <w:tcW w:w="8794" w:type="dxa"/>
            <w:shd w:val="clear" w:color="auto" w:fill="auto"/>
            <w:noWrap/>
            <w:vAlign w:val="center"/>
          </w:tcPr>
          <w:p w14:paraId="19C1FA7B"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Informática</w:t>
            </w:r>
          </w:p>
        </w:tc>
      </w:tr>
      <w:tr w:rsidR="00762C77" w:rsidRPr="00296E53" w14:paraId="66D38C83" w14:textId="77777777" w:rsidTr="00CA5FDA">
        <w:trPr>
          <w:trHeight w:val="20"/>
          <w:jc w:val="center"/>
        </w:trPr>
        <w:tc>
          <w:tcPr>
            <w:tcW w:w="1271" w:type="dxa"/>
            <w:shd w:val="clear" w:color="auto" w:fill="auto"/>
            <w:noWrap/>
            <w:vAlign w:val="center"/>
          </w:tcPr>
          <w:p w14:paraId="0C305955"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CGOR</w:t>
            </w:r>
          </w:p>
        </w:tc>
        <w:tc>
          <w:tcPr>
            <w:tcW w:w="8794" w:type="dxa"/>
            <w:shd w:val="clear" w:color="auto" w:fill="auto"/>
            <w:noWrap/>
            <w:vAlign w:val="center"/>
          </w:tcPr>
          <w:p w14:paraId="35DFD3F7"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Operación Regional</w:t>
            </w:r>
          </w:p>
        </w:tc>
      </w:tr>
      <w:tr w:rsidR="00762C77" w:rsidRPr="00296E53" w14:paraId="11D017F3" w14:textId="77777777" w:rsidTr="00CA5FDA">
        <w:trPr>
          <w:trHeight w:val="20"/>
          <w:jc w:val="center"/>
        </w:trPr>
        <w:tc>
          <w:tcPr>
            <w:tcW w:w="1271" w:type="dxa"/>
            <w:shd w:val="clear" w:color="auto" w:fill="auto"/>
            <w:noWrap/>
            <w:vAlign w:val="center"/>
          </w:tcPr>
          <w:p w14:paraId="5CC25900"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DGA</w:t>
            </w:r>
          </w:p>
        </w:tc>
        <w:tc>
          <w:tcPr>
            <w:tcW w:w="8794" w:type="dxa"/>
            <w:shd w:val="clear" w:color="auto" w:fill="auto"/>
            <w:noWrap/>
            <w:vAlign w:val="center"/>
          </w:tcPr>
          <w:p w14:paraId="26DD45EB"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Administración</w:t>
            </w:r>
          </w:p>
        </w:tc>
      </w:tr>
      <w:tr w:rsidR="00762C77" w:rsidRPr="00296E53" w14:paraId="40A32AE0" w14:textId="77777777" w:rsidTr="00CA5FDA">
        <w:trPr>
          <w:trHeight w:val="20"/>
          <w:jc w:val="center"/>
        </w:trPr>
        <w:tc>
          <w:tcPr>
            <w:tcW w:w="1271" w:type="dxa"/>
            <w:shd w:val="clear" w:color="auto" w:fill="auto"/>
            <w:noWrap/>
            <w:vAlign w:val="center"/>
          </w:tcPr>
          <w:p w14:paraId="77337501"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DGCSNIEG</w:t>
            </w:r>
          </w:p>
        </w:tc>
        <w:tc>
          <w:tcPr>
            <w:tcW w:w="8794" w:type="dxa"/>
            <w:shd w:val="clear" w:color="auto" w:fill="auto"/>
            <w:noWrap/>
            <w:vAlign w:val="center"/>
          </w:tcPr>
          <w:p w14:paraId="0C1C9C41"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Coordinación del Sistema Nacional de Información Estadística y Geográfica</w:t>
            </w:r>
          </w:p>
        </w:tc>
      </w:tr>
      <w:tr w:rsidR="00762C77" w:rsidRPr="00296E53" w14:paraId="74E56A5B" w14:textId="77777777" w:rsidTr="00CA5FDA">
        <w:trPr>
          <w:trHeight w:val="20"/>
          <w:jc w:val="center"/>
        </w:trPr>
        <w:tc>
          <w:tcPr>
            <w:tcW w:w="1271" w:type="dxa"/>
            <w:shd w:val="clear" w:color="auto" w:fill="auto"/>
            <w:noWrap/>
            <w:vAlign w:val="center"/>
          </w:tcPr>
          <w:p w14:paraId="4EB0B53B"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DGCSPIRI</w:t>
            </w:r>
          </w:p>
        </w:tc>
        <w:tc>
          <w:tcPr>
            <w:tcW w:w="8794" w:type="dxa"/>
            <w:shd w:val="clear" w:color="auto" w:fill="auto"/>
            <w:noWrap/>
            <w:vAlign w:val="center"/>
          </w:tcPr>
          <w:p w14:paraId="6C257AD0"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Comunicación, Servicio Público de Información y Relaciones Institucionales</w:t>
            </w:r>
          </w:p>
        </w:tc>
      </w:tr>
      <w:tr w:rsidR="00762C77" w:rsidRPr="00296E53" w14:paraId="6B438BC8" w14:textId="77777777" w:rsidTr="00CA5FDA">
        <w:trPr>
          <w:trHeight w:val="20"/>
          <w:jc w:val="center"/>
        </w:trPr>
        <w:tc>
          <w:tcPr>
            <w:tcW w:w="1271" w:type="dxa"/>
            <w:shd w:val="clear" w:color="auto" w:fill="auto"/>
            <w:noWrap/>
            <w:vAlign w:val="center"/>
          </w:tcPr>
          <w:p w14:paraId="202E1B5F"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DGEE</w:t>
            </w:r>
          </w:p>
        </w:tc>
        <w:tc>
          <w:tcPr>
            <w:tcW w:w="8794" w:type="dxa"/>
            <w:shd w:val="clear" w:color="auto" w:fill="auto"/>
            <w:noWrap/>
            <w:vAlign w:val="center"/>
          </w:tcPr>
          <w:p w14:paraId="23DCDE29"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Económicas</w:t>
            </w:r>
          </w:p>
        </w:tc>
      </w:tr>
      <w:tr w:rsidR="00762C77" w:rsidRPr="00296E53" w14:paraId="13E4DFA0" w14:textId="77777777" w:rsidTr="00CA5FDA">
        <w:trPr>
          <w:trHeight w:val="20"/>
          <w:jc w:val="center"/>
        </w:trPr>
        <w:tc>
          <w:tcPr>
            <w:tcW w:w="1271" w:type="dxa"/>
            <w:shd w:val="clear" w:color="auto" w:fill="auto"/>
            <w:noWrap/>
            <w:vAlign w:val="center"/>
          </w:tcPr>
          <w:p w14:paraId="19565D09"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DGEGSPJ</w:t>
            </w:r>
          </w:p>
        </w:tc>
        <w:tc>
          <w:tcPr>
            <w:tcW w:w="8794" w:type="dxa"/>
            <w:shd w:val="clear" w:color="auto" w:fill="auto"/>
            <w:noWrap/>
            <w:vAlign w:val="center"/>
          </w:tcPr>
          <w:p w14:paraId="213BF2F8"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de Gobierno, Seguridad Pública y Justicia</w:t>
            </w:r>
          </w:p>
        </w:tc>
      </w:tr>
      <w:tr w:rsidR="00762C77" w:rsidRPr="00296E53" w14:paraId="6D95C28A" w14:textId="77777777" w:rsidTr="00CA5FDA">
        <w:trPr>
          <w:trHeight w:val="20"/>
          <w:jc w:val="center"/>
        </w:trPr>
        <w:tc>
          <w:tcPr>
            <w:tcW w:w="1271" w:type="dxa"/>
            <w:shd w:val="clear" w:color="auto" w:fill="auto"/>
            <w:noWrap/>
            <w:vAlign w:val="center"/>
          </w:tcPr>
          <w:p w14:paraId="4E63B432"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DGES</w:t>
            </w:r>
          </w:p>
        </w:tc>
        <w:tc>
          <w:tcPr>
            <w:tcW w:w="8794" w:type="dxa"/>
            <w:shd w:val="clear" w:color="auto" w:fill="auto"/>
            <w:noWrap/>
            <w:vAlign w:val="center"/>
          </w:tcPr>
          <w:p w14:paraId="6204CF68"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Sociodemográficas</w:t>
            </w:r>
          </w:p>
        </w:tc>
      </w:tr>
      <w:tr w:rsidR="00762C77" w:rsidRPr="00296E53" w14:paraId="5B301715" w14:textId="77777777" w:rsidTr="00CA5FDA">
        <w:trPr>
          <w:trHeight w:val="20"/>
          <w:jc w:val="center"/>
        </w:trPr>
        <w:tc>
          <w:tcPr>
            <w:tcW w:w="1271" w:type="dxa"/>
            <w:shd w:val="clear" w:color="auto" w:fill="auto"/>
            <w:noWrap/>
            <w:vAlign w:val="center"/>
          </w:tcPr>
          <w:p w14:paraId="25550858"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DGGMA</w:t>
            </w:r>
          </w:p>
        </w:tc>
        <w:tc>
          <w:tcPr>
            <w:tcW w:w="8794" w:type="dxa"/>
            <w:shd w:val="clear" w:color="auto" w:fill="auto"/>
            <w:noWrap/>
            <w:vAlign w:val="center"/>
          </w:tcPr>
          <w:p w14:paraId="4A2DD423"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Geografía y Medio Ambiente</w:t>
            </w:r>
          </w:p>
        </w:tc>
      </w:tr>
      <w:tr w:rsidR="00762C77" w:rsidRPr="00DE375A" w14:paraId="74B3DB92" w14:textId="77777777" w:rsidTr="00CA5FDA">
        <w:trPr>
          <w:trHeight w:val="20"/>
          <w:jc w:val="center"/>
        </w:trPr>
        <w:tc>
          <w:tcPr>
            <w:tcW w:w="1271" w:type="dxa"/>
            <w:shd w:val="clear" w:color="auto" w:fill="auto"/>
            <w:noWrap/>
            <w:vAlign w:val="center"/>
          </w:tcPr>
          <w:p w14:paraId="5EF26EB2"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DGIAI</w:t>
            </w:r>
          </w:p>
        </w:tc>
        <w:tc>
          <w:tcPr>
            <w:tcW w:w="8794" w:type="dxa"/>
            <w:shd w:val="clear" w:color="auto" w:fill="auto"/>
            <w:noWrap/>
            <w:vAlign w:val="center"/>
          </w:tcPr>
          <w:p w14:paraId="158D9C5A"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Integración, Análisis e Investigación</w:t>
            </w:r>
          </w:p>
        </w:tc>
      </w:tr>
    </w:tbl>
    <w:p w14:paraId="32FB56B1" w14:textId="77777777" w:rsidR="00762C77" w:rsidRDefault="00762C77" w:rsidP="00762C77">
      <w:pPr>
        <w:spacing w:after="120"/>
        <w:rPr>
          <w:rFonts w:ascii="Century Gothic" w:hAnsi="Century Gothic"/>
          <w:sz w:val="19"/>
          <w:szCs w:val="19"/>
        </w:rPr>
      </w:pPr>
    </w:p>
    <w:p w14:paraId="6F399871" w14:textId="77777777" w:rsidR="00762C77" w:rsidRPr="00D10FAA" w:rsidRDefault="00762C77" w:rsidP="00E61E5D">
      <w:pPr>
        <w:spacing w:after="120"/>
        <w:rPr>
          <w:rFonts w:ascii="Century Gothic" w:hAnsi="Century Gothic"/>
          <w:sz w:val="19"/>
          <w:szCs w:val="19"/>
        </w:rPr>
      </w:pPr>
    </w:p>
    <w:sectPr w:rsidR="00762C77" w:rsidRPr="00D10FAA" w:rsidSect="006825BD">
      <w:pgSz w:w="15840" w:h="122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C16A4" w14:textId="77777777" w:rsidR="00043B91" w:rsidRDefault="00043B91" w:rsidP="000331FF">
      <w:pPr>
        <w:spacing w:after="0" w:line="240" w:lineRule="auto"/>
      </w:pPr>
      <w:r>
        <w:separator/>
      </w:r>
    </w:p>
  </w:endnote>
  <w:endnote w:type="continuationSeparator" w:id="0">
    <w:p w14:paraId="25E1488C" w14:textId="77777777" w:rsidR="00043B91" w:rsidRDefault="00043B91" w:rsidP="00033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4069945"/>
      <w:docPartObj>
        <w:docPartGallery w:val="Page Numbers (Bottom of Page)"/>
        <w:docPartUnique/>
      </w:docPartObj>
    </w:sdtPr>
    <w:sdtContent>
      <w:p w14:paraId="3C06AEA6" w14:textId="77777777" w:rsidR="00494D81" w:rsidRDefault="00494D81">
        <w:pPr>
          <w:pStyle w:val="Piedepgina"/>
          <w:jc w:val="right"/>
        </w:pPr>
        <w:r>
          <w:fldChar w:fldCharType="begin"/>
        </w:r>
        <w:r>
          <w:instrText>PAGE   \* MERGEFORMAT</w:instrText>
        </w:r>
        <w:r>
          <w:fldChar w:fldCharType="separate"/>
        </w:r>
        <w:r w:rsidRPr="007A135A">
          <w:rPr>
            <w:noProof/>
            <w:lang w:val="es-ES"/>
          </w:rPr>
          <w:t>73</w:t>
        </w:r>
        <w:r>
          <w:fldChar w:fldCharType="end"/>
        </w:r>
      </w:p>
    </w:sdtContent>
  </w:sdt>
  <w:p w14:paraId="6766FB9B" w14:textId="77777777" w:rsidR="00494D81" w:rsidRDefault="00494D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F57540" w14:textId="77777777" w:rsidR="00043B91" w:rsidRDefault="00043B91" w:rsidP="000331FF">
      <w:pPr>
        <w:spacing w:after="0" w:line="240" w:lineRule="auto"/>
      </w:pPr>
      <w:r>
        <w:separator/>
      </w:r>
    </w:p>
  </w:footnote>
  <w:footnote w:type="continuationSeparator" w:id="0">
    <w:p w14:paraId="241C3FBB" w14:textId="77777777" w:rsidR="00043B91" w:rsidRDefault="00043B91" w:rsidP="000331FF">
      <w:pPr>
        <w:spacing w:after="0" w:line="240" w:lineRule="auto"/>
      </w:pPr>
      <w:r>
        <w:continuationSeparator/>
      </w:r>
    </w:p>
  </w:footnote>
  <w:footnote w:id="1">
    <w:p w14:paraId="69E7C37E" w14:textId="77777777" w:rsidR="00494D81" w:rsidRPr="004D3A8B" w:rsidRDefault="00494D81">
      <w:pPr>
        <w:pStyle w:val="Textonotapie"/>
        <w:rPr>
          <w:rFonts w:ascii="Century Gothic" w:hAnsi="Century Gothic"/>
          <w:color w:val="000000" w:themeColor="text1"/>
          <w:sz w:val="15"/>
          <w:szCs w:val="15"/>
        </w:rPr>
      </w:pPr>
      <w:r>
        <w:rPr>
          <w:rStyle w:val="Refdenotaalpie"/>
        </w:rPr>
        <w:footnoteRef/>
      </w:r>
      <w:r>
        <w:t xml:space="preserve"> </w:t>
      </w:r>
      <w:hyperlink r:id="rId1" w:history="1">
        <w:r w:rsidRPr="004D3A8B">
          <w:rPr>
            <w:rStyle w:val="Hipervnculo"/>
            <w:rFonts w:ascii="Century Gothic" w:hAnsi="Century Gothic"/>
            <w:color w:val="000000" w:themeColor="text1"/>
            <w:sz w:val="15"/>
            <w:szCs w:val="15"/>
          </w:rPr>
          <w:t>http://intranet.inegi.org.mx/calidad/sesiones-del-comite/</w:t>
        </w:r>
      </w:hyperlink>
    </w:p>
  </w:footnote>
  <w:footnote w:id="2">
    <w:p w14:paraId="7B43B719" w14:textId="3816043F" w:rsidR="00494D81" w:rsidRPr="00316762" w:rsidRDefault="00494D81" w:rsidP="00734130">
      <w:pPr>
        <w:pStyle w:val="Textonotapie"/>
        <w:rPr>
          <w:rFonts w:ascii="Century Gothic" w:hAnsi="Century Gothic"/>
          <w:sz w:val="15"/>
          <w:szCs w:val="15"/>
        </w:rPr>
      </w:pPr>
      <w:r w:rsidRPr="00316762">
        <w:rPr>
          <w:rStyle w:val="Refdenotaalpie"/>
          <w:rFonts w:ascii="Century Gothic" w:hAnsi="Century Gothic"/>
          <w:sz w:val="15"/>
          <w:szCs w:val="15"/>
        </w:rPr>
        <w:footnoteRef/>
      </w:r>
      <w:r w:rsidRPr="00316762">
        <w:rPr>
          <w:rFonts w:ascii="Century Gothic" w:hAnsi="Century Gothic"/>
          <w:sz w:val="15"/>
          <w:szCs w:val="15"/>
        </w:rPr>
        <w:t xml:space="preserve"> </w:t>
      </w:r>
      <w:hyperlink r:id="rId2" w:history="1">
        <w:r w:rsidRPr="0006460D">
          <w:rPr>
            <w:rStyle w:val="Hipervnculo"/>
            <w:rFonts w:ascii="Century Gothic" w:hAnsi="Century Gothic"/>
            <w:sz w:val="15"/>
            <w:szCs w:val="15"/>
          </w:rPr>
          <w:t>http://extrantranet.inegi.org.mx/calidad/normatividad-y-otros-documentos</w:t>
        </w:r>
      </w:hyperlink>
      <w:r>
        <w:rPr>
          <w:rStyle w:val="Hipervnculo"/>
          <w:rFonts w:ascii="Century Gothic" w:hAnsi="Century Gothic"/>
          <w:sz w:val="15"/>
          <w:szCs w:val="15"/>
        </w:rPr>
        <w:t>/</w:t>
      </w:r>
      <w:r>
        <w:rPr>
          <w:rFonts w:ascii="Century Gothic" w:hAnsi="Century Gothic"/>
          <w:sz w:val="15"/>
          <w:szCs w:val="15"/>
        </w:rPr>
        <w:t xml:space="preserve"> </w:t>
      </w:r>
    </w:p>
  </w:footnote>
  <w:footnote w:id="3">
    <w:p w14:paraId="6FD443B9" w14:textId="69A55D6D" w:rsidR="00494D81" w:rsidRPr="004D3A8B" w:rsidRDefault="00494D81">
      <w:pPr>
        <w:pStyle w:val="Textonotapie"/>
        <w:rPr>
          <w:rFonts w:ascii="Century Gothic" w:hAnsi="Century Gothic"/>
          <w:color w:val="000000" w:themeColor="text1"/>
          <w:sz w:val="15"/>
          <w:szCs w:val="15"/>
        </w:rPr>
      </w:pPr>
      <w:r w:rsidRPr="004D3A8B">
        <w:rPr>
          <w:rStyle w:val="Refdenotaalpie"/>
          <w:rFonts w:ascii="Century Gothic" w:hAnsi="Century Gothic"/>
          <w:color w:val="000000" w:themeColor="text1"/>
          <w:sz w:val="15"/>
          <w:szCs w:val="15"/>
        </w:rPr>
        <w:footnoteRef/>
      </w:r>
      <w:r w:rsidRPr="004D3A8B">
        <w:rPr>
          <w:rFonts w:ascii="Century Gothic" w:hAnsi="Century Gothic"/>
          <w:color w:val="000000" w:themeColor="text1"/>
          <w:sz w:val="15"/>
          <w:szCs w:val="15"/>
        </w:rPr>
        <w:t xml:space="preserve"> </w:t>
      </w:r>
      <w:hyperlink r:id="rId3" w:history="1">
        <w:r w:rsidRPr="0006460D">
          <w:rPr>
            <w:rStyle w:val="Hipervnculo"/>
            <w:rFonts w:ascii="Century Gothic" w:hAnsi="Century Gothic"/>
            <w:sz w:val="15"/>
            <w:szCs w:val="15"/>
          </w:rPr>
          <w:t>https://www.snieg.mx/DocumentacionPortal/inegiucc/documentacion/</w:t>
        </w:r>
      </w:hyperlink>
    </w:p>
  </w:footnote>
  <w:footnote w:id="4">
    <w:p w14:paraId="3D3703F9" w14:textId="77777777" w:rsidR="00494D81" w:rsidRDefault="00494D81">
      <w:pPr>
        <w:pStyle w:val="Textonotapie"/>
      </w:pPr>
      <w:r w:rsidRPr="004D3A8B">
        <w:rPr>
          <w:rStyle w:val="Refdenotaalpie"/>
          <w:rFonts w:ascii="Century Gothic" w:hAnsi="Century Gothic"/>
          <w:color w:val="000000" w:themeColor="text1"/>
          <w:sz w:val="15"/>
          <w:szCs w:val="15"/>
        </w:rPr>
        <w:footnoteRef/>
      </w:r>
      <w:r w:rsidRPr="004D3A8B">
        <w:rPr>
          <w:rFonts w:ascii="Century Gothic" w:hAnsi="Century Gothic"/>
          <w:color w:val="000000" w:themeColor="text1"/>
          <w:sz w:val="15"/>
          <w:szCs w:val="15"/>
        </w:rPr>
        <w:t xml:space="preserve"> </w:t>
      </w:r>
      <w:hyperlink r:id="rId4" w:history="1">
        <w:r w:rsidRPr="004D3A8B">
          <w:rPr>
            <w:rStyle w:val="Hipervnculo"/>
            <w:rFonts w:ascii="Century Gothic" w:hAnsi="Century Gothic"/>
            <w:color w:val="000000" w:themeColor="text1"/>
            <w:sz w:val="15"/>
            <w:szCs w:val="15"/>
          </w:rPr>
          <w:t>http://intranet.inegi.org.mx/calidad</w:t>
        </w:r>
      </w:hyperlink>
    </w:p>
  </w:footnote>
  <w:footnote w:id="5">
    <w:p w14:paraId="02A0335D" w14:textId="77777777" w:rsidR="00494D81" w:rsidRPr="008700F6" w:rsidRDefault="00494D81" w:rsidP="00EA7FB6">
      <w:pPr>
        <w:pStyle w:val="Textonotapie"/>
        <w:rPr>
          <w:rFonts w:ascii="Century Gothic" w:hAnsi="Century Gothic"/>
          <w:sz w:val="15"/>
          <w:szCs w:val="15"/>
        </w:rPr>
      </w:pPr>
      <w:r>
        <w:rPr>
          <w:rStyle w:val="Refdenotaalpie"/>
        </w:rPr>
        <w:footnoteRef/>
      </w:r>
      <w:r>
        <w:t xml:space="preserve"> </w:t>
      </w:r>
      <w:r w:rsidRPr="008700F6">
        <w:rPr>
          <w:rFonts w:ascii="Century Gothic" w:hAnsi="Century Gothic"/>
          <w:sz w:val="15"/>
          <w:szCs w:val="15"/>
        </w:rPr>
        <w:t xml:space="preserve">http://sc.inegi.org.mx/repositorioNormateca/Pcal.pdf </w:t>
      </w:r>
    </w:p>
  </w:footnote>
  <w:footnote w:id="6">
    <w:p w14:paraId="56DF2A56" w14:textId="77777777" w:rsidR="00494D81" w:rsidRDefault="00494D81" w:rsidP="003C08B7">
      <w:pPr>
        <w:pStyle w:val="Textonotapie"/>
      </w:pPr>
      <w:r>
        <w:rPr>
          <w:rStyle w:val="Refdenotaalpie"/>
        </w:rPr>
        <w:footnoteRef/>
      </w:r>
      <w:r>
        <w:t xml:space="preserve"> </w:t>
      </w:r>
      <w:r w:rsidRPr="00316762">
        <w:rPr>
          <w:rFonts w:ascii="Century Gothic" w:hAnsi="Century Gothic"/>
          <w:sz w:val="15"/>
          <w:szCs w:val="15"/>
        </w:rPr>
        <w:t>https://sc.inegi.org.mx/repositorioNormateca/O_13May19.pdf</w:t>
      </w:r>
    </w:p>
  </w:footnote>
  <w:footnote w:id="7">
    <w:p w14:paraId="4A67FDE2" w14:textId="77777777" w:rsidR="00494D81" w:rsidRDefault="00494D81" w:rsidP="00947A2A">
      <w:pPr>
        <w:pStyle w:val="Textonotapie"/>
      </w:pPr>
      <w:r>
        <w:rPr>
          <w:rStyle w:val="Refdenotaalpie"/>
        </w:rPr>
        <w:footnoteRef/>
      </w:r>
      <w:r>
        <w:t xml:space="preserve"> </w:t>
      </w:r>
      <w:r w:rsidRPr="00316762">
        <w:rPr>
          <w:rFonts w:ascii="Century Gothic" w:hAnsi="Century Gothic"/>
          <w:sz w:val="15"/>
          <w:szCs w:val="15"/>
        </w:rPr>
        <w:t>https://sc.inegi.org.mx/repositorioNormateca/O_13May19.pdf</w:t>
      </w:r>
    </w:p>
  </w:footnote>
  <w:footnote w:id="8">
    <w:p w14:paraId="1283B360" w14:textId="61BACD54" w:rsidR="00494D81" w:rsidRDefault="00494D81">
      <w:pPr>
        <w:pStyle w:val="Textonotapie"/>
      </w:pPr>
      <w:r>
        <w:rPr>
          <w:rStyle w:val="Refdenotaalpie"/>
        </w:rPr>
        <w:footnoteRef/>
      </w:r>
      <w:r>
        <w:t xml:space="preserve"> </w:t>
      </w:r>
      <w:r w:rsidRPr="005E53D4">
        <w:rPr>
          <w:rFonts w:ascii="Century Gothic" w:hAnsi="Century Gothic"/>
          <w:sz w:val="19"/>
          <w:szCs w:val="19"/>
        </w:rPr>
        <w:t>Diario Oficial de la Federación,</w:t>
      </w:r>
      <w:r>
        <w:rPr>
          <w:rFonts w:ascii="Century Gothic" w:hAnsi="Century Gothic"/>
          <w:sz w:val="19"/>
          <w:szCs w:val="19"/>
        </w:rPr>
        <w:t xml:space="preserve"> 31 de marzo de 2020, a</w:t>
      </w:r>
      <w:r w:rsidRPr="005E53D4">
        <w:rPr>
          <w:rFonts w:ascii="Century Gothic" w:hAnsi="Century Gothic"/>
          <w:sz w:val="19"/>
          <w:szCs w:val="19"/>
        </w:rPr>
        <w:t>rtículo Primero, fracción VII</w:t>
      </w:r>
      <w:r>
        <w:rPr>
          <w:rFonts w:ascii="Century Gothic" w:hAnsi="Century Gothic"/>
          <w:sz w:val="19"/>
          <w:szCs w:val="19"/>
        </w:rPr>
        <w:t>.</w:t>
      </w:r>
    </w:p>
  </w:footnote>
  <w:footnote w:id="9">
    <w:p w14:paraId="76340510" w14:textId="78789F5B" w:rsidR="00494D81" w:rsidRDefault="00494D81">
      <w:pPr>
        <w:pStyle w:val="Textonotapie"/>
      </w:pPr>
      <w:r>
        <w:rPr>
          <w:rStyle w:val="Refdenotaalpie"/>
        </w:rPr>
        <w:footnoteRef/>
      </w:r>
      <w:r>
        <w:t xml:space="preserve"> Este programa tiene características de una encuesta no probabilística, por lo que debe presentar los indicadores correspondientes.</w:t>
      </w:r>
    </w:p>
  </w:footnote>
  <w:footnote w:id="10">
    <w:p w14:paraId="61852F68" w14:textId="77777777" w:rsidR="00494D81" w:rsidRPr="00316762" w:rsidRDefault="00494D81" w:rsidP="004C07A2">
      <w:pPr>
        <w:pStyle w:val="Textonotapie"/>
        <w:rPr>
          <w:rFonts w:ascii="Century Gothic" w:hAnsi="Century Gothic"/>
          <w:sz w:val="15"/>
          <w:szCs w:val="15"/>
        </w:rPr>
      </w:pPr>
      <w:r>
        <w:rPr>
          <w:rStyle w:val="Refdenotaalpie"/>
        </w:rPr>
        <w:footnoteRef/>
      </w:r>
      <w:r>
        <w:t xml:space="preserve"> </w:t>
      </w:r>
      <w:r w:rsidRPr="00316762">
        <w:rPr>
          <w:rFonts w:ascii="Century Gothic" w:hAnsi="Century Gothic"/>
          <w:sz w:val="15"/>
          <w:szCs w:val="15"/>
        </w:rPr>
        <w:t xml:space="preserve">Como se puede observar, las encuestas económicas que aparecen son las que tienen dominios </w:t>
      </w:r>
      <w:r>
        <w:rPr>
          <w:rFonts w:ascii="Century Gothic" w:hAnsi="Century Gothic"/>
          <w:sz w:val="15"/>
          <w:szCs w:val="15"/>
        </w:rPr>
        <w:t>probabilísticos y no probabilísticos</w:t>
      </w:r>
      <w:r w:rsidRPr="00316762">
        <w:rPr>
          <w:rFonts w:ascii="Century Gothic" w:hAnsi="Century Gothic"/>
          <w:sz w:val="15"/>
          <w:szCs w:val="15"/>
        </w:rPr>
        <w:t>. Por otro lado, se refleja los mayores niveles de desagregación de estas encuestas necesarios para el Sistema de Cuentas Nacionales de México.</w:t>
      </w:r>
    </w:p>
    <w:p w14:paraId="4D789833" w14:textId="77777777" w:rsidR="00494D81" w:rsidRDefault="00494D81" w:rsidP="004C07A2">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7C39"/>
    <w:multiLevelType w:val="hybridMultilevel"/>
    <w:tmpl w:val="F25A2574"/>
    <w:lvl w:ilvl="0" w:tplc="4CDC2888">
      <w:start w:val="1"/>
      <w:numFmt w:val="bullet"/>
      <w:lvlText w:val="•"/>
      <w:lvlJc w:val="left"/>
      <w:pPr>
        <w:tabs>
          <w:tab w:val="num" w:pos="720"/>
        </w:tabs>
        <w:ind w:left="720" w:hanging="360"/>
      </w:pPr>
      <w:rPr>
        <w:rFonts w:ascii="Arial" w:hAnsi="Arial" w:hint="default"/>
      </w:rPr>
    </w:lvl>
    <w:lvl w:ilvl="1" w:tplc="58D6A616" w:tentative="1">
      <w:start w:val="1"/>
      <w:numFmt w:val="bullet"/>
      <w:lvlText w:val="•"/>
      <w:lvlJc w:val="left"/>
      <w:pPr>
        <w:tabs>
          <w:tab w:val="num" w:pos="1440"/>
        </w:tabs>
        <w:ind w:left="1440" w:hanging="360"/>
      </w:pPr>
      <w:rPr>
        <w:rFonts w:ascii="Arial" w:hAnsi="Arial" w:hint="default"/>
      </w:rPr>
    </w:lvl>
    <w:lvl w:ilvl="2" w:tplc="4008FED8" w:tentative="1">
      <w:start w:val="1"/>
      <w:numFmt w:val="bullet"/>
      <w:lvlText w:val="•"/>
      <w:lvlJc w:val="left"/>
      <w:pPr>
        <w:tabs>
          <w:tab w:val="num" w:pos="2160"/>
        </w:tabs>
        <w:ind w:left="2160" w:hanging="360"/>
      </w:pPr>
      <w:rPr>
        <w:rFonts w:ascii="Arial" w:hAnsi="Arial" w:hint="default"/>
      </w:rPr>
    </w:lvl>
    <w:lvl w:ilvl="3" w:tplc="6A1AD6F6" w:tentative="1">
      <w:start w:val="1"/>
      <w:numFmt w:val="bullet"/>
      <w:lvlText w:val="•"/>
      <w:lvlJc w:val="left"/>
      <w:pPr>
        <w:tabs>
          <w:tab w:val="num" w:pos="2880"/>
        </w:tabs>
        <w:ind w:left="2880" w:hanging="360"/>
      </w:pPr>
      <w:rPr>
        <w:rFonts w:ascii="Arial" w:hAnsi="Arial" w:hint="default"/>
      </w:rPr>
    </w:lvl>
    <w:lvl w:ilvl="4" w:tplc="37EEFF7C" w:tentative="1">
      <w:start w:val="1"/>
      <w:numFmt w:val="bullet"/>
      <w:lvlText w:val="•"/>
      <w:lvlJc w:val="left"/>
      <w:pPr>
        <w:tabs>
          <w:tab w:val="num" w:pos="3600"/>
        </w:tabs>
        <w:ind w:left="3600" w:hanging="360"/>
      </w:pPr>
      <w:rPr>
        <w:rFonts w:ascii="Arial" w:hAnsi="Arial" w:hint="default"/>
      </w:rPr>
    </w:lvl>
    <w:lvl w:ilvl="5" w:tplc="E15AB470" w:tentative="1">
      <w:start w:val="1"/>
      <w:numFmt w:val="bullet"/>
      <w:lvlText w:val="•"/>
      <w:lvlJc w:val="left"/>
      <w:pPr>
        <w:tabs>
          <w:tab w:val="num" w:pos="4320"/>
        </w:tabs>
        <w:ind w:left="4320" w:hanging="360"/>
      </w:pPr>
      <w:rPr>
        <w:rFonts w:ascii="Arial" w:hAnsi="Arial" w:hint="default"/>
      </w:rPr>
    </w:lvl>
    <w:lvl w:ilvl="6" w:tplc="BC56D8B4" w:tentative="1">
      <w:start w:val="1"/>
      <w:numFmt w:val="bullet"/>
      <w:lvlText w:val="•"/>
      <w:lvlJc w:val="left"/>
      <w:pPr>
        <w:tabs>
          <w:tab w:val="num" w:pos="5040"/>
        </w:tabs>
        <w:ind w:left="5040" w:hanging="360"/>
      </w:pPr>
      <w:rPr>
        <w:rFonts w:ascii="Arial" w:hAnsi="Arial" w:hint="default"/>
      </w:rPr>
    </w:lvl>
    <w:lvl w:ilvl="7" w:tplc="26CCAF50" w:tentative="1">
      <w:start w:val="1"/>
      <w:numFmt w:val="bullet"/>
      <w:lvlText w:val="•"/>
      <w:lvlJc w:val="left"/>
      <w:pPr>
        <w:tabs>
          <w:tab w:val="num" w:pos="5760"/>
        </w:tabs>
        <w:ind w:left="5760" w:hanging="360"/>
      </w:pPr>
      <w:rPr>
        <w:rFonts w:ascii="Arial" w:hAnsi="Arial" w:hint="default"/>
      </w:rPr>
    </w:lvl>
    <w:lvl w:ilvl="8" w:tplc="FC3AC1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100895"/>
    <w:multiLevelType w:val="hybridMultilevel"/>
    <w:tmpl w:val="C7BA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81836"/>
    <w:multiLevelType w:val="hybridMultilevel"/>
    <w:tmpl w:val="EC4A9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D3506"/>
    <w:multiLevelType w:val="hybridMultilevel"/>
    <w:tmpl w:val="B01A7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2D4186"/>
    <w:multiLevelType w:val="hybridMultilevel"/>
    <w:tmpl w:val="CDA0F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7195B"/>
    <w:multiLevelType w:val="hybridMultilevel"/>
    <w:tmpl w:val="FEACBB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D1F6247"/>
    <w:multiLevelType w:val="hybridMultilevel"/>
    <w:tmpl w:val="37CAC3F8"/>
    <w:lvl w:ilvl="0" w:tplc="869A63D4">
      <w:start w:val="1"/>
      <w:numFmt w:val="bullet"/>
      <w:lvlText w:val="•"/>
      <w:lvlJc w:val="left"/>
      <w:pPr>
        <w:tabs>
          <w:tab w:val="num" w:pos="720"/>
        </w:tabs>
        <w:ind w:left="720" w:hanging="360"/>
      </w:pPr>
      <w:rPr>
        <w:rFonts w:ascii="Arial" w:hAnsi="Arial" w:hint="default"/>
      </w:rPr>
    </w:lvl>
    <w:lvl w:ilvl="1" w:tplc="2F3EEC54" w:tentative="1">
      <w:start w:val="1"/>
      <w:numFmt w:val="bullet"/>
      <w:lvlText w:val="•"/>
      <w:lvlJc w:val="left"/>
      <w:pPr>
        <w:tabs>
          <w:tab w:val="num" w:pos="1440"/>
        </w:tabs>
        <w:ind w:left="1440" w:hanging="360"/>
      </w:pPr>
      <w:rPr>
        <w:rFonts w:ascii="Arial" w:hAnsi="Arial" w:hint="default"/>
      </w:rPr>
    </w:lvl>
    <w:lvl w:ilvl="2" w:tplc="1316B96A" w:tentative="1">
      <w:start w:val="1"/>
      <w:numFmt w:val="bullet"/>
      <w:lvlText w:val="•"/>
      <w:lvlJc w:val="left"/>
      <w:pPr>
        <w:tabs>
          <w:tab w:val="num" w:pos="2160"/>
        </w:tabs>
        <w:ind w:left="2160" w:hanging="360"/>
      </w:pPr>
      <w:rPr>
        <w:rFonts w:ascii="Arial" w:hAnsi="Arial" w:hint="default"/>
      </w:rPr>
    </w:lvl>
    <w:lvl w:ilvl="3" w:tplc="B8483890" w:tentative="1">
      <w:start w:val="1"/>
      <w:numFmt w:val="bullet"/>
      <w:lvlText w:val="•"/>
      <w:lvlJc w:val="left"/>
      <w:pPr>
        <w:tabs>
          <w:tab w:val="num" w:pos="2880"/>
        </w:tabs>
        <w:ind w:left="2880" w:hanging="360"/>
      </w:pPr>
      <w:rPr>
        <w:rFonts w:ascii="Arial" w:hAnsi="Arial" w:hint="default"/>
      </w:rPr>
    </w:lvl>
    <w:lvl w:ilvl="4" w:tplc="3BD6D91A" w:tentative="1">
      <w:start w:val="1"/>
      <w:numFmt w:val="bullet"/>
      <w:lvlText w:val="•"/>
      <w:lvlJc w:val="left"/>
      <w:pPr>
        <w:tabs>
          <w:tab w:val="num" w:pos="3600"/>
        </w:tabs>
        <w:ind w:left="3600" w:hanging="360"/>
      </w:pPr>
      <w:rPr>
        <w:rFonts w:ascii="Arial" w:hAnsi="Arial" w:hint="default"/>
      </w:rPr>
    </w:lvl>
    <w:lvl w:ilvl="5" w:tplc="7CCE9190" w:tentative="1">
      <w:start w:val="1"/>
      <w:numFmt w:val="bullet"/>
      <w:lvlText w:val="•"/>
      <w:lvlJc w:val="left"/>
      <w:pPr>
        <w:tabs>
          <w:tab w:val="num" w:pos="4320"/>
        </w:tabs>
        <w:ind w:left="4320" w:hanging="360"/>
      </w:pPr>
      <w:rPr>
        <w:rFonts w:ascii="Arial" w:hAnsi="Arial" w:hint="default"/>
      </w:rPr>
    </w:lvl>
    <w:lvl w:ilvl="6" w:tplc="E3A6EBBA" w:tentative="1">
      <w:start w:val="1"/>
      <w:numFmt w:val="bullet"/>
      <w:lvlText w:val="•"/>
      <w:lvlJc w:val="left"/>
      <w:pPr>
        <w:tabs>
          <w:tab w:val="num" w:pos="5040"/>
        </w:tabs>
        <w:ind w:left="5040" w:hanging="360"/>
      </w:pPr>
      <w:rPr>
        <w:rFonts w:ascii="Arial" w:hAnsi="Arial" w:hint="default"/>
      </w:rPr>
    </w:lvl>
    <w:lvl w:ilvl="7" w:tplc="CEF4076E" w:tentative="1">
      <w:start w:val="1"/>
      <w:numFmt w:val="bullet"/>
      <w:lvlText w:val="•"/>
      <w:lvlJc w:val="left"/>
      <w:pPr>
        <w:tabs>
          <w:tab w:val="num" w:pos="5760"/>
        </w:tabs>
        <w:ind w:left="5760" w:hanging="360"/>
      </w:pPr>
      <w:rPr>
        <w:rFonts w:ascii="Arial" w:hAnsi="Arial" w:hint="default"/>
      </w:rPr>
    </w:lvl>
    <w:lvl w:ilvl="8" w:tplc="7F22A5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8450DB"/>
    <w:multiLevelType w:val="hybridMultilevel"/>
    <w:tmpl w:val="6A06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5C2B12"/>
    <w:multiLevelType w:val="hybridMultilevel"/>
    <w:tmpl w:val="3EE2B9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46B24DE"/>
    <w:multiLevelType w:val="hybridMultilevel"/>
    <w:tmpl w:val="35F8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7C3ECB"/>
    <w:multiLevelType w:val="hybridMultilevel"/>
    <w:tmpl w:val="861C78DE"/>
    <w:lvl w:ilvl="0" w:tplc="A5181258">
      <w:start w:val="1"/>
      <w:numFmt w:val="bullet"/>
      <w:lvlText w:val="•"/>
      <w:lvlJc w:val="left"/>
      <w:pPr>
        <w:ind w:left="720" w:hanging="360"/>
      </w:pPr>
      <w:rPr>
        <w:rFonts w:ascii="Arial" w:hAnsi="Arial"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C77619"/>
    <w:multiLevelType w:val="hybridMultilevel"/>
    <w:tmpl w:val="D7DE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14D4B"/>
    <w:multiLevelType w:val="hybridMultilevel"/>
    <w:tmpl w:val="FEFA6F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2580F"/>
    <w:multiLevelType w:val="hybridMultilevel"/>
    <w:tmpl w:val="03927B4E"/>
    <w:lvl w:ilvl="0" w:tplc="E82EDD3A">
      <w:start w:val="1"/>
      <w:numFmt w:val="bullet"/>
      <w:lvlText w:val="•"/>
      <w:lvlJc w:val="left"/>
      <w:pPr>
        <w:tabs>
          <w:tab w:val="num" w:pos="720"/>
        </w:tabs>
        <w:ind w:left="720" w:hanging="360"/>
      </w:pPr>
      <w:rPr>
        <w:rFonts w:ascii="Times New Roman" w:hAnsi="Times New Roman" w:hint="default"/>
      </w:rPr>
    </w:lvl>
    <w:lvl w:ilvl="1" w:tplc="814CC6AA" w:tentative="1">
      <w:start w:val="1"/>
      <w:numFmt w:val="bullet"/>
      <w:lvlText w:val="•"/>
      <w:lvlJc w:val="left"/>
      <w:pPr>
        <w:tabs>
          <w:tab w:val="num" w:pos="1440"/>
        </w:tabs>
        <w:ind w:left="1440" w:hanging="360"/>
      </w:pPr>
      <w:rPr>
        <w:rFonts w:ascii="Times New Roman" w:hAnsi="Times New Roman" w:hint="default"/>
      </w:rPr>
    </w:lvl>
    <w:lvl w:ilvl="2" w:tplc="F0A46632" w:tentative="1">
      <w:start w:val="1"/>
      <w:numFmt w:val="bullet"/>
      <w:lvlText w:val="•"/>
      <w:lvlJc w:val="left"/>
      <w:pPr>
        <w:tabs>
          <w:tab w:val="num" w:pos="2160"/>
        </w:tabs>
        <w:ind w:left="2160" w:hanging="360"/>
      </w:pPr>
      <w:rPr>
        <w:rFonts w:ascii="Times New Roman" w:hAnsi="Times New Roman" w:hint="default"/>
      </w:rPr>
    </w:lvl>
    <w:lvl w:ilvl="3" w:tplc="F4260BB6" w:tentative="1">
      <w:start w:val="1"/>
      <w:numFmt w:val="bullet"/>
      <w:lvlText w:val="•"/>
      <w:lvlJc w:val="left"/>
      <w:pPr>
        <w:tabs>
          <w:tab w:val="num" w:pos="2880"/>
        </w:tabs>
        <w:ind w:left="2880" w:hanging="360"/>
      </w:pPr>
      <w:rPr>
        <w:rFonts w:ascii="Times New Roman" w:hAnsi="Times New Roman" w:hint="default"/>
      </w:rPr>
    </w:lvl>
    <w:lvl w:ilvl="4" w:tplc="C88427D4" w:tentative="1">
      <w:start w:val="1"/>
      <w:numFmt w:val="bullet"/>
      <w:lvlText w:val="•"/>
      <w:lvlJc w:val="left"/>
      <w:pPr>
        <w:tabs>
          <w:tab w:val="num" w:pos="3600"/>
        </w:tabs>
        <w:ind w:left="3600" w:hanging="360"/>
      </w:pPr>
      <w:rPr>
        <w:rFonts w:ascii="Times New Roman" w:hAnsi="Times New Roman" w:hint="default"/>
      </w:rPr>
    </w:lvl>
    <w:lvl w:ilvl="5" w:tplc="35242096" w:tentative="1">
      <w:start w:val="1"/>
      <w:numFmt w:val="bullet"/>
      <w:lvlText w:val="•"/>
      <w:lvlJc w:val="left"/>
      <w:pPr>
        <w:tabs>
          <w:tab w:val="num" w:pos="4320"/>
        </w:tabs>
        <w:ind w:left="4320" w:hanging="360"/>
      </w:pPr>
      <w:rPr>
        <w:rFonts w:ascii="Times New Roman" w:hAnsi="Times New Roman" w:hint="default"/>
      </w:rPr>
    </w:lvl>
    <w:lvl w:ilvl="6" w:tplc="629EDEB8" w:tentative="1">
      <w:start w:val="1"/>
      <w:numFmt w:val="bullet"/>
      <w:lvlText w:val="•"/>
      <w:lvlJc w:val="left"/>
      <w:pPr>
        <w:tabs>
          <w:tab w:val="num" w:pos="5040"/>
        </w:tabs>
        <w:ind w:left="5040" w:hanging="360"/>
      </w:pPr>
      <w:rPr>
        <w:rFonts w:ascii="Times New Roman" w:hAnsi="Times New Roman" w:hint="default"/>
      </w:rPr>
    </w:lvl>
    <w:lvl w:ilvl="7" w:tplc="E634F05C" w:tentative="1">
      <w:start w:val="1"/>
      <w:numFmt w:val="bullet"/>
      <w:lvlText w:val="•"/>
      <w:lvlJc w:val="left"/>
      <w:pPr>
        <w:tabs>
          <w:tab w:val="num" w:pos="5760"/>
        </w:tabs>
        <w:ind w:left="5760" w:hanging="360"/>
      </w:pPr>
      <w:rPr>
        <w:rFonts w:ascii="Times New Roman" w:hAnsi="Times New Roman" w:hint="default"/>
      </w:rPr>
    </w:lvl>
    <w:lvl w:ilvl="8" w:tplc="BDC4B7C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7722F0C"/>
    <w:multiLevelType w:val="hybridMultilevel"/>
    <w:tmpl w:val="E66696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4F1C3B74"/>
    <w:multiLevelType w:val="hybridMultilevel"/>
    <w:tmpl w:val="40F8FF8E"/>
    <w:lvl w:ilvl="0" w:tplc="8F6A3B6A">
      <w:start w:val="1"/>
      <w:numFmt w:val="bullet"/>
      <w:lvlText w:val="•"/>
      <w:lvlJc w:val="left"/>
      <w:pPr>
        <w:tabs>
          <w:tab w:val="num" w:pos="720"/>
        </w:tabs>
        <w:ind w:left="720" w:hanging="360"/>
      </w:pPr>
      <w:rPr>
        <w:rFonts w:ascii="Arial" w:hAnsi="Arial" w:hint="default"/>
      </w:rPr>
    </w:lvl>
    <w:lvl w:ilvl="1" w:tplc="B80A0CEE" w:tentative="1">
      <w:start w:val="1"/>
      <w:numFmt w:val="bullet"/>
      <w:lvlText w:val="•"/>
      <w:lvlJc w:val="left"/>
      <w:pPr>
        <w:tabs>
          <w:tab w:val="num" w:pos="1440"/>
        </w:tabs>
        <w:ind w:left="1440" w:hanging="360"/>
      </w:pPr>
      <w:rPr>
        <w:rFonts w:ascii="Arial" w:hAnsi="Arial" w:hint="default"/>
      </w:rPr>
    </w:lvl>
    <w:lvl w:ilvl="2" w:tplc="5DAAD406" w:tentative="1">
      <w:start w:val="1"/>
      <w:numFmt w:val="bullet"/>
      <w:lvlText w:val="•"/>
      <w:lvlJc w:val="left"/>
      <w:pPr>
        <w:tabs>
          <w:tab w:val="num" w:pos="2160"/>
        </w:tabs>
        <w:ind w:left="2160" w:hanging="360"/>
      </w:pPr>
      <w:rPr>
        <w:rFonts w:ascii="Arial" w:hAnsi="Arial" w:hint="default"/>
      </w:rPr>
    </w:lvl>
    <w:lvl w:ilvl="3" w:tplc="8B4AF76C" w:tentative="1">
      <w:start w:val="1"/>
      <w:numFmt w:val="bullet"/>
      <w:lvlText w:val="•"/>
      <w:lvlJc w:val="left"/>
      <w:pPr>
        <w:tabs>
          <w:tab w:val="num" w:pos="2880"/>
        </w:tabs>
        <w:ind w:left="2880" w:hanging="360"/>
      </w:pPr>
      <w:rPr>
        <w:rFonts w:ascii="Arial" w:hAnsi="Arial" w:hint="default"/>
      </w:rPr>
    </w:lvl>
    <w:lvl w:ilvl="4" w:tplc="844820CC" w:tentative="1">
      <w:start w:val="1"/>
      <w:numFmt w:val="bullet"/>
      <w:lvlText w:val="•"/>
      <w:lvlJc w:val="left"/>
      <w:pPr>
        <w:tabs>
          <w:tab w:val="num" w:pos="3600"/>
        </w:tabs>
        <w:ind w:left="3600" w:hanging="360"/>
      </w:pPr>
      <w:rPr>
        <w:rFonts w:ascii="Arial" w:hAnsi="Arial" w:hint="default"/>
      </w:rPr>
    </w:lvl>
    <w:lvl w:ilvl="5" w:tplc="815C0E38" w:tentative="1">
      <w:start w:val="1"/>
      <w:numFmt w:val="bullet"/>
      <w:lvlText w:val="•"/>
      <w:lvlJc w:val="left"/>
      <w:pPr>
        <w:tabs>
          <w:tab w:val="num" w:pos="4320"/>
        </w:tabs>
        <w:ind w:left="4320" w:hanging="360"/>
      </w:pPr>
      <w:rPr>
        <w:rFonts w:ascii="Arial" w:hAnsi="Arial" w:hint="default"/>
      </w:rPr>
    </w:lvl>
    <w:lvl w:ilvl="6" w:tplc="E19CD63C" w:tentative="1">
      <w:start w:val="1"/>
      <w:numFmt w:val="bullet"/>
      <w:lvlText w:val="•"/>
      <w:lvlJc w:val="left"/>
      <w:pPr>
        <w:tabs>
          <w:tab w:val="num" w:pos="5040"/>
        </w:tabs>
        <w:ind w:left="5040" w:hanging="360"/>
      </w:pPr>
      <w:rPr>
        <w:rFonts w:ascii="Arial" w:hAnsi="Arial" w:hint="default"/>
      </w:rPr>
    </w:lvl>
    <w:lvl w:ilvl="7" w:tplc="3438B618" w:tentative="1">
      <w:start w:val="1"/>
      <w:numFmt w:val="bullet"/>
      <w:lvlText w:val="•"/>
      <w:lvlJc w:val="left"/>
      <w:pPr>
        <w:tabs>
          <w:tab w:val="num" w:pos="5760"/>
        </w:tabs>
        <w:ind w:left="5760" w:hanging="360"/>
      </w:pPr>
      <w:rPr>
        <w:rFonts w:ascii="Arial" w:hAnsi="Arial" w:hint="default"/>
      </w:rPr>
    </w:lvl>
    <w:lvl w:ilvl="8" w:tplc="30DE297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B632E3"/>
    <w:multiLevelType w:val="hybridMultilevel"/>
    <w:tmpl w:val="CA6898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67CA6DE6"/>
    <w:multiLevelType w:val="hybridMultilevel"/>
    <w:tmpl w:val="AAA62E40"/>
    <w:lvl w:ilvl="0" w:tplc="D40EA490">
      <w:start w:val="1"/>
      <w:numFmt w:val="bullet"/>
      <w:lvlText w:val="•"/>
      <w:lvlJc w:val="left"/>
      <w:pPr>
        <w:tabs>
          <w:tab w:val="num" w:pos="720"/>
        </w:tabs>
        <w:ind w:left="720" w:hanging="360"/>
      </w:pPr>
      <w:rPr>
        <w:rFonts w:ascii="Times New Roman" w:hAnsi="Times New Roman" w:hint="default"/>
      </w:rPr>
    </w:lvl>
    <w:lvl w:ilvl="1" w:tplc="C7F0ED06" w:tentative="1">
      <w:start w:val="1"/>
      <w:numFmt w:val="bullet"/>
      <w:lvlText w:val="•"/>
      <w:lvlJc w:val="left"/>
      <w:pPr>
        <w:tabs>
          <w:tab w:val="num" w:pos="1440"/>
        </w:tabs>
        <w:ind w:left="1440" w:hanging="360"/>
      </w:pPr>
      <w:rPr>
        <w:rFonts w:ascii="Times New Roman" w:hAnsi="Times New Roman" w:hint="default"/>
      </w:rPr>
    </w:lvl>
    <w:lvl w:ilvl="2" w:tplc="C2AAA564" w:tentative="1">
      <w:start w:val="1"/>
      <w:numFmt w:val="bullet"/>
      <w:lvlText w:val="•"/>
      <w:lvlJc w:val="left"/>
      <w:pPr>
        <w:tabs>
          <w:tab w:val="num" w:pos="2160"/>
        </w:tabs>
        <w:ind w:left="2160" w:hanging="360"/>
      </w:pPr>
      <w:rPr>
        <w:rFonts w:ascii="Times New Roman" w:hAnsi="Times New Roman" w:hint="default"/>
      </w:rPr>
    </w:lvl>
    <w:lvl w:ilvl="3" w:tplc="79867868" w:tentative="1">
      <w:start w:val="1"/>
      <w:numFmt w:val="bullet"/>
      <w:lvlText w:val="•"/>
      <w:lvlJc w:val="left"/>
      <w:pPr>
        <w:tabs>
          <w:tab w:val="num" w:pos="2880"/>
        </w:tabs>
        <w:ind w:left="2880" w:hanging="360"/>
      </w:pPr>
      <w:rPr>
        <w:rFonts w:ascii="Times New Roman" w:hAnsi="Times New Roman" w:hint="default"/>
      </w:rPr>
    </w:lvl>
    <w:lvl w:ilvl="4" w:tplc="B04260D0" w:tentative="1">
      <w:start w:val="1"/>
      <w:numFmt w:val="bullet"/>
      <w:lvlText w:val="•"/>
      <w:lvlJc w:val="left"/>
      <w:pPr>
        <w:tabs>
          <w:tab w:val="num" w:pos="3600"/>
        </w:tabs>
        <w:ind w:left="3600" w:hanging="360"/>
      </w:pPr>
      <w:rPr>
        <w:rFonts w:ascii="Times New Roman" w:hAnsi="Times New Roman" w:hint="default"/>
      </w:rPr>
    </w:lvl>
    <w:lvl w:ilvl="5" w:tplc="9E36292A" w:tentative="1">
      <w:start w:val="1"/>
      <w:numFmt w:val="bullet"/>
      <w:lvlText w:val="•"/>
      <w:lvlJc w:val="left"/>
      <w:pPr>
        <w:tabs>
          <w:tab w:val="num" w:pos="4320"/>
        </w:tabs>
        <w:ind w:left="4320" w:hanging="360"/>
      </w:pPr>
      <w:rPr>
        <w:rFonts w:ascii="Times New Roman" w:hAnsi="Times New Roman" w:hint="default"/>
      </w:rPr>
    </w:lvl>
    <w:lvl w:ilvl="6" w:tplc="894A46E0" w:tentative="1">
      <w:start w:val="1"/>
      <w:numFmt w:val="bullet"/>
      <w:lvlText w:val="•"/>
      <w:lvlJc w:val="left"/>
      <w:pPr>
        <w:tabs>
          <w:tab w:val="num" w:pos="5040"/>
        </w:tabs>
        <w:ind w:left="5040" w:hanging="360"/>
      </w:pPr>
      <w:rPr>
        <w:rFonts w:ascii="Times New Roman" w:hAnsi="Times New Roman" w:hint="default"/>
      </w:rPr>
    </w:lvl>
    <w:lvl w:ilvl="7" w:tplc="787212EE" w:tentative="1">
      <w:start w:val="1"/>
      <w:numFmt w:val="bullet"/>
      <w:lvlText w:val="•"/>
      <w:lvlJc w:val="left"/>
      <w:pPr>
        <w:tabs>
          <w:tab w:val="num" w:pos="5760"/>
        </w:tabs>
        <w:ind w:left="5760" w:hanging="360"/>
      </w:pPr>
      <w:rPr>
        <w:rFonts w:ascii="Times New Roman" w:hAnsi="Times New Roman" w:hint="default"/>
      </w:rPr>
    </w:lvl>
    <w:lvl w:ilvl="8" w:tplc="8C44928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AF87DFF"/>
    <w:multiLevelType w:val="hybridMultilevel"/>
    <w:tmpl w:val="C166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5E21B8"/>
    <w:multiLevelType w:val="hybridMultilevel"/>
    <w:tmpl w:val="71A681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FB94FAB"/>
    <w:multiLevelType w:val="hybridMultilevel"/>
    <w:tmpl w:val="54EAE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1909FD"/>
    <w:multiLevelType w:val="hybridMultilevel"/>
    <w:tmpl w:val="71C05CF0"/>
    <w:lvl w:ilvl="0" w:tplc="F636059C">
      <w:start w:val="1"/>
      <w:numFmt w:val="bullet"/>
      <w:lvlText w:val="•"/>
      <w:lvlJc w:val="left"/>
      <w:pPr>
        <w:tabs>
          <w:tab w:val="num" w:pos="720"/>
        </w:tabs>
        <w:ind w:left="720" w:hanging="360"/>
      </w:pPr>
      <w:rPr>
        <w:rFonts w:ascii="Arial" w:hAnsi="Arial" w:hint="default"/>
      </w:rPr>
    </w:lvl>
    <w:lvl w:ilvl="1" w:tplc="A5181258">
      <w:start w:val="1"/>
      <w:numFmt w:val="bullet"/>
      <w:lvlText w:val="•"/>
      <w:lvlJc w:val="left"/>
      <w:pPr>
        <w:tabs>
          <w:tab w:val="num" w:pos="1440"/>
        </w:tabs>
        <w:ind w:left="1440" w:hanging="360"/>
      </w:pPr>
      <w:rPr>
        <w:rFonts w:ascii="Arial" w:hAnsi="Arial" w:hint="default"/>
        <w:sz w:val="28"/>
      </w:rPr>
    </w:lvl>
    <w:lvl w:ilvl="2" w:tplc="080A0003">
      <w:start w:val="1"/>
      <w:numFmt w:val="bullet"/>
      <w:lvlText w:val="o"/>
      <w:lvlJc w:val="left"/>
      <w:pPr>
        <w:tabs>
          <w:tab w:val="num" w:pos="2160"/>
        </w:tabs>
        <w:ind w:left="2160" w:hanging="360"/>
      </w:pPr>
      <w:rPr>
        <w:rFonts w:ascii="Courier New" w:hAnsi="Courier New" w:cs="Courier New" w:hint="default"/>
      </w:rPr>
    </w:lvl>
    <w:lvl w:ilvl="3" w:tplc="0B587BF8" w:tentative="1">
      <w:start w:val="1"/>
      <w:numFmt w:val="bullet"/>
      <w:lvlText w:val="•"/>
      <w:lvlJc w:val="left"/>
      <w:pPr>
        <w:tabs>
          <w:tab w:val="num" w:pos="2880"/>
        </w:tabs>
        <w:ind w:left="2880" w:hanging="360"/>
      </w:pPr>
      <w:rPr>
        <w:rFonts w:ascii="Arial" w:hAnsi="Arial" w:hint="default"/>
      </w:rPr>
    </w:lvl>
    <w:lvl w:ilvl="4" w:tplc="6B6C75E2" w:tentative="1">
      <w:start w:val="1"/>
      <w:numFmt w:val="bullet"/>
      <w:lvlText w:val="•"/>
      <w:lvlJc w:val="left"/>
      <w:pPr>
        <w:tabs>
          <w:tab w:val="num" w:pos="3600"/>
        </w:tabs>
        <w:ind w:left="3600" w:hanging="360"/>
      </w:pPr>
      <w:rPr>
        <w:rFonts w:ascii="Arial" w:hAnsi="Arial" w:hint="default"/>
      </w:rPr>
    </w:lvl>
    <w:lvl w:ilvl="5" w:tplc="CEA04446" w:tentative="1">
      <w:start w:val="1"/>
      <w:numFmt w:val="bullet"/>
      <w:lvlText w:val="•"/>
      <w:lvlJc w:val="left"/>
      <w:pPr>
        <w:tabs>
          <w:tab w:val="num" w:pos="4320"/>
        </w:tabs>
        <w:ind w:left="4320" w:hanging="360"/>
      </w:pPr>
      <w:rPr>
        <w:rFonts w:ascii="Arial" w:hAnsi="Arial" w:hint="default"/>
      </w:rPr>
    </w:lvl>
    <w:lvl w:ilvl="6" w:tplc="8FEAA1A4" w:tentative="1">
      <w:start w:val="1"/>
      <w:numFmt w:val="bullet"/>
      <w:lvlText w:val="•"/>
      <w:lvlJc w:val="left"/>
      <w:pPr>
        <w:tabs>
          <w:tab w:val="num" w:pos="5040"/>
        </w:tabs>
        <w:ind w:left="5040" w:hanging="360"/>
      </w:pPr>
      <w:rPr>
        <w:rFonts w:ascii="Arial" w:hAnsi="Arial" w:hint="default"/>
      </w:rPr>
    </w:lvl>
    <w:lvl w:ilvl="7" w:tplc="7F60F17A" w:tentative="1">
      <w:start w:val="1"/>
      <w:numFmt w:val="bullet"/>
      <w:lvlText w:val="•"/>
      <w:lvlJc w:val="left"/>
      <w:pPr>
        <w:tabs>
          <w:tab w:val="num" w:pos="5760"/>
        </w:tabs>
        <w:ind w:left="5760" w:hanging="360"/>
      </w:pPr>
      <w:rPr>
        <w:rFonts w:ascii="Arial" w:hAnsi="Arial" w:hint="default"/>
      </w:rPr>
    </w:lvl>
    <w:lvl w:ilvl="8" w:tplc="909E8042"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13"/>
  </w:num>
  <w:num w:numId="3">
    <w:abstractNumId w:val="17"/>
  </w:num>
  <w:num w:numId="4">
    <w:abstractNumId w:val="12"/>
  </w:num>
  <w:num w:numId="5">
    <w:abstractNumId w:val="4"/>
  </w:num>
  <w:num w:numId="6">
    <w:abstractNumId w:val="0"/>
  </w:num>
  <w:num w:numId="7">
    <w:abstractNumId w:val="6"/>
  </w:num>
  <w:num w:numId="8">
    <w:abstractNumId w:val="15"/>
  </w:num>
  <w:num w:numId="9">
    <w:abstractNumId w:val="14"/>
  </w:num>
  <w:num w:numId="10">
    <w:abstractNumId w:val="3"/>
  </w:num>
  <w:num w:numId="11">
    <w:abstractNumId w:val="9"/>
  </w:num>
  <w:num w:numId="12">
    <w:abstractNumId w:val="16"/>
  </w:num>
  <w:num w:numId="13">
    <w:abstractNumId w:val="7"/>
  </w:num>
  <w:num w:numId="14">
    <w:abstractNumId w:val="1"/>
  </w:num>
  <w:num w:numId="15">
    <w:abstractNumId w:val="11"/>
  </w:num>
  <w:num w:numId="16">
    <w:abstractNumId w:val="2"/>
  </w:num>
  <w:num w:numId="17">
    <w:abstractNumId w:val="20"/>
  </w:num>
  <w:num w:numId="18">
    <w:abstractNumId w:val="18"/>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2C"/>
    <w:rsid w:val="00000EB5"/>
    <w:rsid w:val="0000111B"/>
    <w:rsid w:val="000017BE"/>
    <w:rsid w:val="00001F55"/>
    <w:rsid w:val="000024AF"/>
    <w:rsid w:val="00003D18"/>
    <w:rsid w:val="0000497F"/>
    <w:rsid w:val="00004A1F"/>
    <w:rsid w:val="00005717"/>
    <w:rsid w:val="000057FA"/>
    <w:rsid w:val="00005E74"/>
    <w:rsid w:val="00006C61"/>
    <w:rsid w:val="000070EC"/>
    <w:rsid w:val="00007243"/>
    <w:rsid w:val="000104EB"/>
    <w:rsid w:val="00010D7F"/>
    <w:rsid w:val="00011807"/>
    <w:rsid w:val="00011E7F"/>
    <w:rsid w:val="00012320"/>
    <w:rsid w:val="00014869"/>
    <w:rsid w:val="00015158"/>
    <w:rsid w:val="000158DC"/>
    <w:rsid w:val="00016EB4"/>
    <w:rsid w:val="00017207"/>
    <w:rsid w:val="00017748"/>
    <w:rsid w:val="00020B0E"/>
    <w:rsid w:val="000219DC"/>
    <w:rsid w:val="00021ED7"/>
    <w:rsid w:val="000248EF"/>
    <w:rsid w:val="00025561"/>
    <w:rsid w:val="000257C5"/>
    <w:rsid w:val="0002683F"/>
    <w:rsid w:val="00026918"/>
    <w:rsid w:val="00026CAB"/>
    <w:rsid w:val="0002767F"/>
    <w:rsid w:val="00027859"/>
    <w:rsid w:val="0003150D"/>
    <w:rsid w:val="00031897"/>
    <w:rsid w:val="000331C1"/>
    <w:rsid w:val="000331FF"/>
    <w:rsid w:val="00033302"/>
    <w:rsid w:val="00033654"/>
    <w:rsid w:val="00033A97"/>
    <w:rsid w:val="00033FD4"/>
    <w:rsid w:val="00036138"/>
    <w:rsid w:val="00037855"/>
    <w:rsid w:val="00037DA5"/>
    <w:rsid w:val="000402A8"/>
    <w:rsid w:val="00041544"/>
    <w:rsid w:val="000417E4"/>
    <w:rsid w:val="00042159"/>
    <w:rsid w:val="00043B91"/>
    <w:rsid w:val="00043B97"/>
    <w:rsid w:val="000440A5"/>
    <w:rsid w:val="000460C4"/>
    <w:rsid w:val="000466EE"/>
    <w:rsid w:val="00047124"/>
    <w:rsid w:val="00051413"/>
    <w:rsid w:val="00051E4E"/>
    <w:rsid w:val="00052F2C"/>
    <w:rsid w:val="00052FCC"/>
    <w:rsid w:val="00054590"/>
    <w:rsid w:val="00055C06"/>
    <w:rsid w:val="00055D73"/>
    <w:rsid w:val="0005607D"/>
    <w:rsid w:val="000563F3"/>
    <w:rsid w:val="000566E5"/>
    <w:rsid w:val="0005759B"/>
    <w:rsid w:val="00060A9D"/>
    <w:rsid w:val="0006275D"/>
    <w:rsid w:val="000636C5"/>
    <w:rsid w:val="0006630A"/>
    <w:rsid w:val="0006630D"/>
    <w:rsid w:val="0006657D"/>
    <w:rsid w:val="00066A8E"/>
    <w:rsid w:val="00067532"/>
    <w:rsid w:val="000704F7"/>
    <w:rsid w:val="00070768"/>
    <w:rsid w:val="00070FBC"/>
    <w:rsid w:val="00071D57"/>
    <w:rsid w:val="00073E00"/>
    <w:rsid w:val="0007653E"/>
    <w:rsid w:val="00076ADC"/>
    <w:rsid w:val="00077182"/>
    <w:rsid w:val="00077279"/>
    <w:rsid w:val="00077D19"/>
    <w:rsid w:val="00080235"/>
    <w:rsid w:val="00080AFC"/>
    <w:rsid w:val="00081309"/>
    <w:rsid w:val="00081638"/>
    <w:rsid w:val="00081ACE"/>
    <w:rsid w:val="00082272"/>
    <w:rsid w:val="000824AC"/>
    <w:rsid w:val="00082C3E"/>
    <w:rsid w:val="00084391"/>
    <w:rsid w:val="000849C2"/>
    <w:rsid w:val="00086FA9"/>
    <w:rsid w:val="00086FE7"/>
    <w:rsid w:val="000876B0"/>
    <w:rsid w:val="00087BF4"/>
    <w:rsid w:val="00091523"/>
    <w:rsid w:val="000916CE"/>
    <w:rsid w:val="00091F56"/>
    <w:rsid w:val="00092CFC"/>
    <w:rsid w:val="00094F7E"/>
    <w:rsid w:val="0009623E"/>
    <w:rsid w:val="00096EF4"/>
    <w:rsid w:val="00097094"/>
    <w:rsid w:val="0009788F"/>
    <w:rsid w:val="000A0421"/>
    <w:rsid w:val="000A0641"/>
    <w:rsid w:val="000A0E28"/>
    <w:rsid w:val="000A1D6E"/>
    <w:rsid w:val="000A23CD"/>
    <w:rsid w:val="000A26A6"/>
    <w:rsid w:val="000A4284"/>
    <w:rsid w:val="000A4B13"/>
    <w:rsid w:val="000A4D31"/>
    <w:rsid w:val="000A63FB"/>
    <w:rsid w:val="000A6703"/>
    <w:rsid w:val="000A6C8E"/>
    <w:rsid w:val="000A711D"/>
    <w:rsid w:val="000A74AF"/>
    <w:rsid w:val="000B0618"/>
    <w:rsid w:val="000B0A3D"/>
    <w:rsid w:val="000B1650"/>
    <w:rsid w:val="000B18C8"/>
    <w:rsid w:val="000B191F"/>
    <w:rsid w:val="000B29F0"/>
    <w:rsid w:val="000B2B8A"/>
    <w:rsid w:val="000B3282"/>
    <w:rsid w:val="000B5281"/>
    <w:rsid w:val="000B5848"/>
    <w:rsid w:val="000B5C7E"/>
    <w:rsid w:val="000B6432"/>
    <w:rsid w:val="000C0BA2"/>
    <w:rsid w:val="000C0C60"/>
    <w:rsid w:val="000C18D9"/>
    <w:rsid w:val="000C1ADA"/>
    <w:rsid w:val="000C20C6"/>
    <w:rsid w:val="000C20F5"/>
    <w:rsid w:val="000C2B4E"/>
    <w:rsid w:val="000C384B"/>
    <w:rsid w:val="000C3EF6"/>
    <w:rsid w:val="000C62AA"/>
    <w:rsid w:val="000C63A9"/>
    <w:rsid w:val="000C6D46"/>
    <w:rsid w:val="000C79B8"/>
    <w:rsid w:val="000D00E1"/>
    <w:rsid w:val="000D0E5F"/>
    <w:rsid w:val="000D3878"/>
    <w:rsid w:val="000D4741"/>
    <w:rsid w:val="000D54F6"/>
    <w:rsid w:val="000D59FD"/>
    <w:rsid w:val="000D6240"/>
    <w:rsid w:val="000D7311"/>
    <w:rsid w:val="000D7313"/>
    <w:rsid w:val="000D7BFD"/>
    <w:rsid w:val="000E01C2"/>
    <w:rsid w:val="000E16BD"/>
    <w:rsid w:val="000E1904"/>
    <w:rsid w:val="000E202C"/>
    <w:rsid w:val="000E3F22"/>
    <w:rsid w:val="000E440F"/>
    <w:rsid w:val="000E481B"/>
    <w:rsid w:val="000E4899"/>
    <w:rsid w:val="000E493B"/>
    <w:rsid w:val="000E4F56"/>
    <w:rsid w:val="000E6AE0"/>
    <w:rsid w:val="000E747E"/>
    <w:rsid w:val="000F1898"/>
    <w:rsid w:val="000F269E"/>
    <w:rsid w:val="000F2ACB"/>
    <w:rsid w:val="000F2BC2"/>
    <w:rsid w:val="000F2E0A"/>
    <w:rsid w:val="000F4F3F"/>
    <w:rsid w:val="000F5D79"/>
    <w:rsid w:val="000F6F20"/>
    <w:rsid w:val="00100257"/>
    <w:rsid w:val="00100BC5"/>
    <w:rsid w:val="00101BE8"/>
    <w:rsid w:val="00102ACA"/>
    <w:rsid w:val="001057A0"/>
    <w:rsid w:val="001066D7"/>
    <w:rsid w:val="001106AE"/>
    <w:rsid w:val="0011172F"/>
    <w:rsid w:val="00111956"/>
    <w:rsid w:val="001125B1"/>
    <w:rsid w:val="00113B51"/>
    <w:rsid w:val="00113EFA"/>
    <w:rsid w:val="0011425A"/>
    <w:rsid w:val="0011487A"/>
    <w:rsid w:val="00115DE7"/>
    <w:rsid w:val="00115EFA"/>
    <w:rsid w:val="00116138"/>
    <w:rsid w:val="00116C3A"/>
    <w:rsid w:val="00117AFF"/>
    <w:rsid w:val="00117E4B"/>
    <w:rsid w:val="0012085E"/>
    <w:rsid w:val="001216ED"/>
    <w:rsid w:val="00121DC3"/>
    <w:rsid w:val="00123787"/>
    <w:rsid w:val="00124162"/>
    <w:rsid w:val="0012440F"/>
    <w:rsid w:val="00124E04"/>
    <w:rsid w:val="00126525"/>
    <w:rsid w:val="00127461"/>
    <w:rsid w:val="00127687"/>
    <w:rsid w:val="001309D8"/>
    <w:rsid w:val="00132E6D"/>
    <w:rsid w:val="001337E9"/>
    <w:rsid w:val="00133B15"/>
    <w:rsid w:val="00134518"/>
    <w:rsid w:val="00134655"/>
    <w:rsid w:val="001348B9"/>
    <w:rsid w:val="0013534D"/>
    <w:rsid w:val="0013546D"/>
    <w:rsid w:val="00135F99"/>
    <w:rsid w:val="00137118"/>
    <w:rsid w:val="00137662"/>
    <w:rsid w:val="00140574"/>
    <w:rsid w:val="00140858"/>
    <w:rsid w:val="00140C74"/>
    <w:rsid w:val="00141DEC"/>
    <w:rsid w:val="0014279E"/>
    <w:rsid w:val="0014331B"/>
    <w:rsid w:val="00143B3F"/>
    <w:rsid w:val="00144BEF"/>
    <w:rsid w:val="0014513D"/>
    <w:rsid w:val="00145A0D"/>
    <w:rsid w:val="00145DF0"/>
    <w:rsid w:val="00145FF8"/>
    <w:rsid w:val="0014637E"/>
    <w:rsid w:val="00146EAE"/>
    <w:rsid w:val="0014705A"/>
    <w:rsid w:val="00147431"/>
    <w:rsid w:val="00147917"/>
    <w:rsid w:val="001503D3"/>
    <w:rsid w:val="00150680"/>
    <w:rsid w:val="00150D38"/>
    <w:rsid w:val="00151996"/>
    <w:rsid w:val="00151EF7"/>
    <w:rsid w:val="0015269F"/>
    <w:rsid w:val="00152BFA"/>
    <w:rsid w:val="00152F00"/>
    <w:rsid w:val="00153052"/>
    <w:rsid w:val="0015396D"/>
    <w:rsid w:val="001539D5"/>
    <w:rsid w:val="00153AEB"/>
    <w:rsid w:val="0015471E"/>
    <w:rsid w:val="00154D55"/>
    <w:rsid w:val="00154FAD"/>
    <w:rsid w:val="00155107"/>
    <w:rsid w:val="0015513F"/>
    <w:rsid w:val="00155BDA"/>
    <w:rsid w:val="00155C29"/>
    <w:rsid w:val="00157979"/>
    <w:rsid w:val="00157BE1"/>
    <w:rsid w:val="0016047D"/>
    <w:rsid w:val="00160692"/>
    <w:rsid w:val="00160867"/>
    <w:rsid w:val="00160DAF"/>
    <w:rsid w:val="00161F82"/>
    <w:rsid w:val="00162C7C"/>
    <w:rsid w:val="001643F4"/>
    <w:rsid w:val="00164A8A"/>
    <w:rsid w:val="0017170E"/>
    <w:rsid w:val="00171FA6"/>
    <w:rsid w:val="0017276B"/>
    <w:rsid w:val="00174473"/>
    <w:rsid w:val="001744DC"/>
    <w:rsid w:val="00174794"/>
    <w:rsid w:val="00174A47"/>
    <w:rsid w:val="001752FD"/>
    <w:rsid w:val="0017625E"/>
    <w:rsid w:val="0017632C"/>
    <w:rsid w:val="00176656"/>
    <w:rsid w:val="00176D97"/>
    <w:rsid w:val="001803A9"/>
    <w:rsid w:val="0018097E"/>
    <w:rsid w:val="00180AF9"/>
    <w:rsid w:val="0018148E"/>
    <w:rsid w:val="00181E41"/>
    <w:rsid w:val="001820CE"/>
    <w:rsid w:val="0018255F"/>
    <w:rsid w:val="001825B6"/>
    <w:rsid w:val="00183634"/>
    <w:rsid w:val="00184866"/>
    <w:rsid w:val="00185A42"/>
    <w:rsid w:val="0018624B"/>
    <w:rsid w:val="00190838"/>
    <w:rsid w:val="0019087D"/>
    <w:rsid w:val="0019101C"/>
    <w:rsid w:val="001914D7"/>
    <w:rsid w:val="00191E75"/>
    <w:rsid w:val="00193BFD"/>
    <w:rsid w:val="001962C5"/>
    <w:rsid w:val="00196454"/>
    <w:rsid w:val="00196FCB"/>
    <w:rsid w:val="00197D0C"/>
    <w:rsid w:val="001A08FA"/>
    <w:rsid w:val="001A11EF"/>
    <w:rsid w:val="001A1DE7"/>
    <w:rsid w:val="001A22A4"/>
    <w:rsid w:val="001A2AB3"/>
    <w:rsid w:val="001A2B0B"/>
    <w:rsid w:val="001A2ECA"/>
    <w:rsid w:val="001A3395"/>
    <w:rsid w:val="001A37C4"/>
    <w:rsid w:val="001A4E15"/>
    <w:rsid w:val="001A6C27"/>
    <w:rsid w:val="001A6C75"/>
    <w:rsid w:val="001A6ECF"/>
    <w:rsid w:val="001A7DF8"/>
    <w:rsid w:val="001B185C"/>
    <w:rsid w:val="001B2D8D"/>
    <w:rsid w:val="001B32A0"/>
    <w:rsid w:val="001B339E"/>
    <w:rsid w:val="001B4602"/>
    <w:rsid w:val="001B4844"/>
    <w:rsid w:val="001B4D68"/>
    <w:rsid w:val="001B6579"/>
    <w:rsid w:val="001C0C67"/>
    <w:rsid w:val="001C1128"/>
    <w:rsid w:val="001C147F"/>
    <w:rsid w:val="001C1646"/>
    <w:rsid w:val="001C413B"/>
    <w:rsid w:val="001C476F"/>
    <w:rsid w:val="001C4A5F"/>
    <w:rsid w:val="001C6AAC"/>
    <w:rsid w:val="001C710D"/>
    <w:rsid w:val="001D155E"/>
    <w:rsid w:val="001D3B86"/>
    <w:rsid w:val="001D428D"/>
    <w:rsid w:val="001D4532"/>
    <w:rsid w:val="001D4A76"/>
    <w:rsid w:val="001D5BE0"/>
    <w:rsid w:val="001D5BF6"/>
    <w:rsid w:val="001D71E8"/>
    <w:rsid w:val="001D73B8"/>
    <w:rsid w:val="001E1319"/>
    <w:rsid w:val="001E21BF"/>
    <w:rsid w:val="001E2CD7"/>
    <w:rsid w:val="001E2EBF"/>
    <w:rsid w:val="001E3EC9"/>
    <w:rsid w:val="001E421F"/>
    <w:rsid w:val="001E5349"/>
    <w:rsid w:val="001E7F8F"/>
    <w:rsid w:val="001F0D4D"/>
    <w:rsid w:val="001F1DDA"/>
    <w:rsid w:val="001F2116"/>
    <w:rsid w:val="001F3596"/>
    <w:rsid w:val="001F3CA2"/>
    <w:rsid w:val="001F4A36"/>
    <w:rsid w:val="001F5037"/>
    <w:rsid w:val="001F668D"/>
    <w:rsid w:val="001F69CB"/>
    <w:rsid w:val="001F74FD"/>
    <w:rsid w:val="002016C5"/>
    <w:rsid w:val="00202560"/>
    <w:rsid w:val="002038B0"/>
    <w:rsid w:val="002049EB"/>
    <w:rsid w:val="00204ED0"/>
    <w:rsid w:val="00205994"/>
    <w:rsid w:val="002064F7"/>
    <w:rsid w:val="00206BA5"/>
    <w:rsid w:val="00206EC3"/>
    <w:rsid w:val="00206F2D"/>
    <w:rsid w:val="0020708C"/>
    <w:rsid w:val="00207461"/>
    <w:rsid w:val="00207AB3"/>
    <w:rsid w:val="00207CF9"/>
    <w:rsid w:val="00210322"/>
    <w:rsid w:val="00211033"/>
    <w:rsid w:val="00211A76"/>
    <w:rsid w:val="00213284"/>
    <w:rsid w:val="00213E8F"/>
    <w:rsid w:val="00214C16"/>
    <w:rsid w:val="0021655A"/>
    <w:rsid w:val="00216A17"/>
    <w:rsid w:val="0022000F"/>
    <w:rsid w:val="0022003B"/>
    <w:rsid w:val="002207A6"/>
    <w:rsid w:val="0022091F"/>
    <w:rsid w:val="002214AF"/>
    <w:rsid w:val="00221575"/>
    <w:rsid w:val="00222E9E"/>
    <w:rsid w:val="002235E3"/>
    <w:rsid w:val="00223639"/>
    <w:rsid w:val="00223C5C"/>
    <w:rsid w:val="00224771"/>
    <w:rsid w:val="00224D0B"/>
    <w:rsid w:val="0022505B"/>
    <w:rsid w:val="002257DC"/>
    <w:rsid w:val="002258D2"/>
    <w:rsid w:val="00226406"/>
    <w:rsid w:val="002277F9"/>
    <w:rsid w:val="002300A6"/>
    <w:rsid w:val="00230F4A"/>
    <w:rsid w:val="00231318"/>
    <w:rsid w:val="00231BFC"/>
    <w:rsid w:val="0023231C"/>
    <w:rsid w:val="00232364"/>
    <w:rsid w:val="00232426"/>
    <w:rsid w:val="00232A73"/>
    <w:rsid w:val="0023472C"/>
    <w:rsid w:val="00235165"/>
    <w:rsid w:val="00235320"/>
    <w:rsid w:val="00236E2C"/>
    <w:rsid w:val="00237327"/>
    <w:rsid w:val="0024141F"/>
    <w:rsid w:val="00241C14"/>
    <w:rsid w:val="0024353C"/>
    <w:rsid w:val="002446EF"/>
    <w:rsid w:val="00244794"/>
    <w:rsid w:val="00244F2D"/>
    <w:rsid w:val="00245259"/>
    <w:rsid w:val="002464E8"/>
    <w:rsid w:val="00246689"/>
    <w:rsid w:val="00247A8D"/>
    <w:rsid w:val="00247DA7"/>
    <w:rsid w:val="0025092F"/>
    <w:rsid w:val="00250B30"/>
    <w:rsid w:val="00250C48"/>
    <w:rsid w:val="002517E4"/>
    <w:rsid w:val="00252A6C"/>
    <w:rsid w:val="00252CA7"/>
    <w:rsid w:val="00253F46"/>
    <w:rsid w:val="002554D4"/>
    <w:rsid w:val="002558E7"/>
    <w:rsid w:val="00256978"/>
    <w:rsid w:val="00257D7D"/>
    <w:rsid w:val="0026035C"/>
    <w:rsid w:val="002616F0"/>
    <w:rsid w:val="00261D56"/>
    <w:rsid w:val="00262500"/>
    <w:rsid w:val="00262865"/>
    <w:rsid w:val="00262B5D"/>
    <w:rsid w:val="00263ECC"/>
    <w:rsid w:val="00263F0C"/>
    <w:rsid w:val="00264237"/>
    <w:rsid w:val="0026467C"/>
    <w:rsid w:val="002650CB"/>
    <w:rsid w:val="00265562"/>
    <w:rsid w:val="00265C82"/>
    <w:rsid w:val="00265EB0"/>
    <w:rsid w:val="0026625E"/>
    <w:rsid w:val="00266DF3"/>
    <w:rsid w:val="002675B2"/>
    <w:rsid w:val="002714C2"/>
    <w:rsid w:val="002720B4"/>
    <w:rsid w:val="00272BE2"/>
    <w:rsid w:val="00272E9B"/>
    <w:rsid w:val="0027342B"/>
    <w:rsid w:val="002755FF"/>
    <w:rsid w:val="0027686E"/>
    <w:rsid w:val="00276C39"/>
    <w:rsid w:val="0027757E"/>
    <w:rsid w:val="00277678"/>
    <w:rsid w:val="00277D4C"/>
    <w:rsid w:val="0028252A"/>
    <w:rsid w:val="00283E9B"/>
    <w:rsid w:val="002846D9"/>
    <w:rsid w:val="00284DBC"/>
    <w:rsid w:val="00286927"/>
    <w:rsid w:val="00286A37"/>
    <w:rsid w:val="0028769C"/>
    <w:rsid w:val="00287CFD"/>
    <w:rsid w:val="00287E38"/>
    <w:rsid w:val="00290973"/>
    <w:rsid w:val="00291318"/>
    <w:rsid w:val="00292168"/>
    <w:rsid w:val="002943A8"/>
    <w:rsid w:val="002945A7"/>
    <w:rsid w:val="00294C41"/>
    <w:rsid w:val="002954D7"/>
    <w:rsid w:val="0029624D"/>
    <w:rsid w:val="002967E1"/>
    <w:rsid w:val="00296E53"/>
    <w:rsid w:val="002A2FF2"/>
    <w:rsid w:val="002A3825"/>
    <w:rsid w:val="002A3A10"/>
    <w:rsid w:val="002A3B01"/>
    <w:rsid w:val="002A3FBC"/>
    <w:rsid w:val="002A4787"/>
    <w:rsid w:val="002A47D3"/>
    <w:rsid w:val="002A575E"/>
    <w:rsid w:val="002A5CF8"/>
    <w:rsid w:val="002A607D"/>
    <w:rsid w:val="002A6213"/>
    <w:rsid w:val="002A69C8"/>
    <w:rsid w:val="002A6B37"/>
    <w:rsid w:val="002A70D3"/>
    <w:rsid w:val="002A7D7E"/>
    <w:rsid w:val="002B035B"/>
    <w:rsid w:val="002B09C6"/>
    <w:rsid w:val="002B0E3E"/>
    <w:rsid w:val="002B21D7"/>
    <w:rsid w:val="002B24AE"/>
    <w:rsid w:val="002B44E4"/>
    <w:rsid w:val="002B548F"/>
    <w:rsid w:val="002B629C"/>
    <w:rsid w:val="002B7E31"/>
    <w:rsid w:val="002C0B0A"/>
    <w:rsid w:val="002C0F78"/>
    <w:rsid w:val="002C15F6"/>
    <w:rsid w:val="002C2141"/>
    <w:rsid w:val="002C481B"/>
    <w:rsid w:val="002C5E03"/>
    <w:rsid w:val="002C6F6F"/>
    <w:rsid w:val="002C7385"/>
    <w:rsid w:val="002C7F4F"/>
    <w:rsid w:val="002D0BD1"/>
    <w:rsid w:val="002D1CBE"/>
    <w:rsid w:val="002D2B34"/>
    <w:rsid w:val="002D2E17"/>
    <w:rsid w:val="002D30D2"/>
    <w:rsid w:val="002D3887"/>
    <w:rsid w:val="002D3A4E"/>
    <w:rsid w:val="002D3AC4"/>
    <w:rsid w:val="002D4462"/>
    <w:rsid w:val="002D4B6C"/>
    <w:rsid w:val="002D53F8"/>
    <w:rsid w:val="002D5DCF"/>
    <w:rsid w:val="002D625C"/>
    <w:rsid w:val="002D704C"/>
    <w:rsid w:val="002E05AA"/>
    <w:rsid w:val="002E09ED"/>
    <w:rsid w:val="002E14B1"/>
    <w:rsid w:val="002E1592"/>
    <w:rsid w:val="002E1DA3"/>
    <w:rsid w:val="002E2AD3"/>
    <w:rsid w:val="002E2BA5"/>
    <w:rsid w:val="002E3505"/>
    <w:rsid w:val="002E4D71"/>
    <w:rsid w:val="002E4DA1"/>
    <w:rsid w:val="002F0062"/>
    <w:rsid w:val="002F0907"/>
    <w:rsid w:val="002F0E79"/>
    <w:rsid w:val="002F1217"/>
    <w:rsid w:val="002F15B3"/>
    <w:rsid w:val="002F2928"/>
    <w:rsid w:val="002F2AD3"/>
    <w:rsid w:val="002F3641"/>
    <w:rsid w:val="002F36CD"/>
    <w:rsid w:val="002F3DF1"/>
    <w:rsid w:val="002F5416"/>
    <w:rsid w:val="002F5D72"/>
    <w:rsid w:val="002F67BD"/>
    <w:rsid w:val="002F6ED3"/>
    <w:rsid w:val="0030053C"/>
    <w:rsid w:val="003018D4"/>
    <w:rsid w:val="00301F0C"/>
    <w:rsid w:val="00301FDA"/>
    <w:rsid w:val="003028A1"/>
    <w:rsid w:val="003029A5"/>
    <w:rsid w:val="0030359D"/>
    <w:rsid w:val="003036AF"/>
    <w:rsid w:val="003040F8"/>
    <w:rsid w:val="0030444D"/>
    <w:rsid w:val="00304AE9"/>
    <w:rsid w:val="003055E4"/>
    <w:rsid w:val="00305E88"/>
    <w:rsid w:val="00305FD7"/>
    <w:rsid w:val="0030668B"/>
    <w:rsid w:val="00307323"/>
    <w:rsid w:val="00310251"/>
    <w:rsid w:val="00310596"/>
    <w:rsid w:val="00311A58"/>
    <w:rsid w:val="00311C9F"/>
    <w:rsid w:val="00312042"/>
    <w:rsid w:val="003120B6"/>
    <w:rsid w:val="003128CD"/>
    <w:rsid w:val="00312E68"/>
    <w:rsid w:val="0031360D"/>
    <w:rsid w:val="003149A2"/>
    <w:rsid w:val="00316015"/>
    <w:rsid w:val="003165D1"/>
    <w:rsid w:val="00316762"/>
    <w:rsid w:val="003169D4"/>
    <w:rsid w:val="00316F82"/>
    <w:rsid w:val="00321C51"/>
    <w:rsid w:val="00322543"/>
    <w:rsid w:val="00322818"/>
    <w:rsid w:val="00323937"/>
    <w:rsid w:val="00323D91"/>
    <w:rsid w:val="00324534"/>
    <w:rsid w:val="00325942"/>
    <w:rsid w:val="00326AA2"/>
    <w:rsid w:val="003275A1"/>
    <w:rsid w:val="00327A42"/>
    <w:rsid w:val="00331C0A"/>
    <w:rsid w:val="0033411A"/>
    <w:rsid w:val="003345C3"/>
    <w:rsid w:val="00334962"/>
    <w:rsid w:val="003350A2"/>
    <w:rsid w:val="0033515C"/>
    <w:rsid w:val="003353B7"/>
    <w:rsid w:val="00336850"/>
    <w:rsid w:val="00336900"/>
    <w:rsid w:val="00337C98"/>
    <w:rsid w:val="0034008E"/>
    <w:rsid w:val="0034018C"/>
    <w:rsid w:val="00341A1C"/>
    <w:rsid w:val="0034224F"/>
    <w:rsid w:val="00342F24"/>
    <w:rsid w:val="003446EB"/>
    <w:rsid w:val="0034483D"/>
    <w:rsid w:val="0034487F"/>
    <w:rsid w:val="003460EE"/>
    <w:rsid w:val="00347176"/>
    <w:rsid w:val="0034767E"/>
    <w:rsid w:val="00350840"/>
    <w:rsid w:val="0035115E"/>
    <w:rsid w:val="003511B6"/>
    <w:rsid w:val="00351905"/>
    <w:rsid w:val="00351CB9"/>
    <w:rsid w:val="0035267E"/>
    <w:rsid w:val="00352725"/>
    <w:rsid w:val="00352992"/>
    <w:rsid w:val="00353142"/>
    <w:rsid w:val="00353D09"/>
    <w:rsid w:val="00353F6A"/>
    <w:rsid w:val="00354C45"/>
    <w:rsid w:val="00355B39"/>
    <w:rsid w:val="003564C5"/>
    <w:rsid w:val="0035665C"/>
    <w:rsid w:val="00356896"/>
    <w:rsid w:val="00357000"/>
    <w:rsid w:val="00357E1C"/>
    <w:rsid w:val="00361B6A"/>
    <w:rsid w:val="0036229C"/>
    <w:rsid w:val="00362B20"/>
    <w:rsid w:val="00363889"/>
    <w:rsid w:val="00364DEA"/>
    <w:rsid w:val="00365183"/>
    <w:rsid w:val="00365C0A"/>
    <w:rsid w:val="00365D05"/>
    <w:rsid w:val="003678D0"/>
    <w:rsid w:val="003704AF"/>
    <w:rsid w:val="00371325"/>
    <w:rsid w:val="00371C92"/>
    <w:rsid w:val="00371D9D"/>
    <w:rsid w:val="00371DD2"/>
    <w:rsid w:val="00371FA0"/>
    <w:rsid w:val="00371FC4"/>
    <w:rsid w:val="00372F7B"/>
    <w:rsid w:val="003730B3"/>
    <w:rsid w:val="00374D7E"/>
    <w:rsid w:val="00375AB1"/>
    <w:rsid w:val="003763E3"/>
    <w:rsid w:val="0037703C"/>
    <w:rsid w:val="00377D82"/>
    <w:rsid w:val="00380204"/>
    <w:rsid w:val="00380284"/>
    <w:rsid w:val="00381675"/>
    <w:rsid w:val="0038175E"/>
    <w:rsid w:val="00381AA2"/>
    <w:rsid w:val="00381E5D"/>
    <w:rsid w:val="00382213"/>
    <w:rsid w:val="0038327E"/>
    <w:rsid w:val="00383393"/>
    <w:rsid w:val="00383FCD"/>
    <w:rsid w:val="0038557B"/>
    <w:rsid w:val="003855D5"/>
    <w:rsid w:val="003869C2"/>
    <w:rsid w:val="003869DC"/>
    <w:rsid w:val="00386A78"/>
    <w:rsid w:val="00386B80"/>
    <w:rsid w:val="00386EAC"/>
    <w:rsid w:val="00392B6E"/>
    <w:rsid w:val="00392F76"/>
    <w:rsid w:val="003933FD"/>
    <w:rsid w:val="00393AD2"/>
    <w:rsid w:val="0039417B"/>
    <w:rsid w:val="00394B1C"/>
    <w:rsid w:val="003962F2"/>
    <w:rsid w:val="0039699B"/>
    <w:rsid w:val="00396A28"/>
    <w:rsid w:val="00396DE2"/>
    <w:rsid w:val="003A0610"/>
    <w:rsid w:val="003A0986"/>
    <w:rsid w:val="003A0B62"/>
    <w:rsid w:val="003A133D"/>
    <w:rsid w:val="003A19D5"/>
    <w:rsid w:val="003A2134"/>
    <w:rsid w:val="003A2538"/>
    <w:rsid w:val="003A2AE5"/>
    <w:rsid w:val="003A30D8"/>
    <w:rsid w:val="003A3CEE"/>
    <w:rsid w:val="003A3FA0"/>
    <w:rsid w:val="003A5AF2"/>
    <w:rsid w:val="003A69CA"/>
    <w:rsid w:val="003B129A"/>
    <w:rsid w:val="003B192E"/>
    <w:rsid w:val="003B2159"/>
    <w:rsid w:val="003B2AB3"/>
    <w:rsid w:val="003B319B"/>
    <w:rsid w:val="003B3D60"/>
    <w:rsid w:val="003B488E"/>
    <w:rsid w:val="003B5B61"/>
    <w:rsid w:val="003B63B4"/>
    <w:rsid w:val="003B652E"/>
    <w:rsid w:val="003B6941"/>
    <w:rsid w:val="003B7080"/>
    <w:rsid w:val="003C075B"/>
    <w:rsid w:val="003C08B7"/>
    <w:rsid w:val="003C1445"/>
    <w:rsid w:val="003C2D38"/>
    <w:rsid w:val="003C569F"/>
    <w:rsid w:val="003C6502"/>
    <w:rsid w:val="003C6EDE"/>
    <w:rsid w:val="003C7487"/>
    <w:rsid w:val="003C7A07"/>
    <w:rsid w:val="003C7D78"/>
    <w:rsid w:val="003D0350"/>
    <w:rsid w:val="003D039E"/>
    <w:rsid w:val="003D10D7"/>
    <w:rsid w:val="003D1911"/>
    <w:rsid w:val="003D2608"/>
    <w:rsid w:val="003D33F2"/>
    <w:rsid w:val="003D57E4"/>
    <w:rsid w:val="003D63F3"/>
    <w:rsid w:val="003D6645"/>
    <w:rsid w:val="003E043B"/>
    <w:rsid w:val="003E0D4E"/>
    <w:rsid w:val="003E1DAD"/>
    <w:rsid w:val="003E1E20"/>
    <w:rsid w:val="003E5C24"/>
    <w:rsid w:val="003E6520"/>
    <w:rsid w:val="003E68F2"/>
    <w:rsid w:val="003E70CE"/>
    <w:rsid w:val="003F02D5"/>
    <w:rsid w:val="003F068E"/>
    <w:rsid w:val="003F119D"/>
    <w:rsid w:val="003F12D7"/>
    <w:rsid w:val="003F4603"/>
    <w:rsid w:val="003F46C8"/>
    <w:rsid w:val="003F4D43"/>
    <w:rsid w:val="003F6178"/>
    <w:rsid w:val="003F735E"/>
    <w:rsid w:val="0040064D"/>
    <w:rsid w:val="00400E4A"/>
    <w:rsid w:val="00400F45"/>
    <w:rsid w:val="004017D3"/>
    <w:rsid w:val="00401CF8"/>
    <w:rsid w:val="004023E9"/>
    <w:rsid w:val="00402A51"/>
    <w:rsid w:val="00402B7F"/>
    <w:rsid w:val="004044B4"/>
    <w:rsid w:val="00404852"/>
    <w:rsid w:val="00405425"/>
    <w:rsid w:val="00405D92"/>
    <w:rsid w:val="00405D96"/>
    <w:rsid w:val="004078A5"/>
    <w:rsid w:val="00407E55"/>
    <w:rsid w:val="00407F4E"/>
    <w:rsid w:val="004107FB"/>
    <w:rsid w:val="00410907"/>
    <w:rsid w:val="00410B38"/>
    <w:rsid w:val="0041205B"/>
    <w:rsid w:val="00412993"/>
    <w:rsid w:val="00415559"/>
    <w:rsid w:val="0041578D"/>
    <w:rsid w:val="0041791C"/>
    <w:rsid w:val="004179DB"/>
    <w:rsid w:val="00420320"/>
    <w:rsid w:val="00421356"/>
    <w:rsid w:val="00421478"/>
    <w:rsid w:val="004215AB"/>
    <w:rsid w:val="0042216C"/>
    <w:rsid w:val="004227EC"/>
    <w:rsid w:val="00422BDC"/>
    <w:rsid w:val="004231B9"/>
    <w:rsid w:val="004231BB"/>
    <w:rsid w:val="004242CA"/>
    <w:rsid w:val="004244F0"/>
    <w:rsid w:val="004245A9"/>
    <w:rsid w:val="0042522F"/>
    <w:rsid w:val="00425852"/>
    <w:rsid w:val="004258D8"/>
    <w:rsid w:val="00425C02"/>
    <w:rsid w:val="004266B9"/>
    <w:rsid w:val="004277BD"/>
    <w:rsid w:val="00430420"/>
    <w:rsid w:val="004307C5"/>
    <w:rsid w:val="004314F1"/>
    <w:rsid w:val="00431FE7"/>
    <w:rsid w:val="00432A69"/>
    <w:rsid w:val="00434711"/>
    <w:rsid w:val="00436183"/>
    <w:rsid w:val="00436DC1"/>
    <w:rsid w:val="0043742F"/>
    <w:rsid w:val="00437EA5"/>
    <w:rsid w:val="0044145A"/>
    <w:rsid w:val="00441730"/>
    <w:rsid w:val="00441A22"/>
    <w:rsid w:val="00441F66"/>
    <w:rsid w:val="00442809"/>
    <w:rsid w:val="0044296F"/>
    <w:rsid w:val="00442FF8"/>
    <w:rsid w:val="004433A7"/>
    <w:rsid w:val="00444D28"/>
    <w:rsid w:val="00444F3F"/>
    <w:rsid w:val="00444FBA"/>
    <w:rsid w:val="0044509B"/>
    <w:rsid w:val="004453BA"/>
    <w:rsid w:val="00445540"/>
    <w:rsid w:val="00445BB8"/>
    <w:rsid w:val="00445F28"/>
    <w:rsid w:val="00447323"/>
    <w:rsid w:val="00450680"/>
    <w:rsid w:val="00450C04"/>
    <w:rsid w:val="0045173F"/>
    <w:rsid w:val="0045389A"/>
    <w:rsid w:val="00453C4F"/>
    <w:rsid w:val="00454DFA"/>
    <w:rsid w:val="004550E2"/>
    <w:rsid w:val="00455E6E"/>
    <w:rsid w:val="004568BF"/>
    <w:rsid w:val="00456C94"/>
    <w:rsid w:val="0045771B"/>
    <w:rsid w:val="00457793"/>
    <w:rsid w:val="00461009"/>
    <w:rsid w:val="00463D25"/>
    <w:rsid w:val="00465183"/>
    <w:rsid w:val="004659BB"/>
    <w:rsid w:val="00465FA1"/>
    <w:rsid w:val="00465FF1"/>
    <w:rsid w:val="00466ED1"/>
    <w:rsid w:val="004670B6"/>
    <w:rsid w:val="0046735D"/>
    <w:rsid w:val="00470838"/>
    <w:rsid w:val="0047206A"/>
    <w:rsid w:val="00473518"/>
    <w:rsid w:val="00474240"/>
    <w:rsid w:val="0047493C"/>
    <w:rsid w:val="004778E6"/>
    <w:rsid w:val="004818BD"/>
    <w:rsid w:val="00482402"/>
    <w:rsid w:val="00482FC7"/>
    <w:rsid w:val="004838D4"/>
    <w:rsid w:val="00483A78"/>
    <w:rsid w:val="00484A3F"/>
    <w:rsid w:val="00484BB7"/>
    <w:rsid w:val="0048554B"/>
    <w:rsid w:val="00485ADD"/>
    <w:rsid w:val="0048624C"/>
    <w:rsid w:val="004865C2"/>
    <w:rsid w:val="004871C2"/>
    <w:rsid w:val="0048745D"/>
    <w:rsid w:val="004877F8"/>
    <w:rsid w:val="004903C2"/>
    <w:rsid w:val="00491E0C"/>
    <w:rsid w:val="00492FAD"/>
    <w:rsid w:val="0049374D"/>
    <w:rsid w:val="004939A0"/>
    <w:rsid w:val="00494D81"/>
    <w:rsid w:val="004956D1"/>
    <w:rsid w:val="0049578B"/>
    <w:rsid w:val="004974EF"/>
    <w:rsid w:val="004976CB"/>
    <w:rsid w:val="004A058F"/>
    <w:rsid w:val="004A0E4D"/>
    <w:rsid w:val="004A2DCC"/>
    <w:rsid w:val="004A34DF"/>
    <w:rsid w:val="004A3B1F"/>
    <w:rsid w:val="004A3E5D"/>
    <w:rsid w:val="004A43CC"/>
    <w:rsid w:val="004A448E"/>
    <w:rsid w:val="004A69D7"/>
    <w:rsid w:val="004A6D3E"/>
    <w:rsid w:val="004A7662"/>
    <w:rsid w:val="004A7698"/>
    <w:rsid w:val="004A7B38"/>
    <w:rsid w:val="004B0298"/>
    <w:rsid w:val="004B098B"/>
    <w:rsid w:val="004B0EEA"/>
    <w:rsid w:val="004B21CE"/>
    <w:rsid w:val="004B4E9D"/>
    <w:rsid w:val="004B500A"/>
    <w:rsid w:val="004B594A"/>
    <w:rsid w:val="004B6905"/>
    <w:rsid w:val="004B699C"/>
    <w:rsid w:val="004C01BD"/>
    <w:rsid w:val="004C07A2"/>
    <w:rsid w:val="004C250A"/>
    <w:rsid w:val="004C273E"/>
    <w:rsid w:val="004C2C1D"/>
    <w:rsid w:val="004C32BF"/>
    <w:rsid w:val="004C3737"/>
    <w:rsid w:val="004C4471"/>
    <w:rsid w:val="004C450A"/>
    <w:rsid w:val="004C4C0F"/>
    <w:rsid w:val="004C4EC4"/>
    <w:rsid w:val="004C51CD"/>
    <w:rsid w:val="004C5C3B"/>
    <w:rsid w:val="004C67A4"/>
    <w:rsid w:val="004C6B8A"/>
    <w:rsid w:val="004C7825"/>
    <w:rsid w:val="004D07A9"/>
    <w:rsid w:val="004D07F2"/>
    <w:rsid w:val="004D1F3D"/>
    <w:rsid w:val="004D27CC"/>
    <w:rsid w:val="004D352F"/>
    <w:rsid w:val="004D396D"/>
    <w:rsid w:val="004D3A8B"/>
    <w:rsid w:val="004D3E83"/>
    <w:rsid w:val="004D4CBC"/>
    <w:rsid w:val="004D5C38"/>
    <w:rsid w:val="004D61E8"/>
    <w:rsid w:val="004D6536"/>
    <w:rsid w:val="004D7539"/>
    <w:rsid w:val="004D7727"/>
    <w:rsid w:val="004D78E9"/>
    <w:rsid w:val="004E1DC1"/>
    <w:rsid w:val="004E2E70"/>
    <w:rsid w:val="004E3FC3"/>
    <w:rsid w:val="004E4051"/>
    <w:rsid w:val="004E49D4"/>
    <w:rsid w:val="004E4EB2"/>
    <w:rsid w:val="004E4F71"/>
    <w:rsid w:val="004E568A"/>
    <w:rsid w:val="004E58D9"/>
    <w:rsid w:val="004E644C"/>
    <w:rsid w:val="004E65A9"/>
    <w:rsid w:val="004E7C59"/>
    <w:rsid w:val="004F20C2"/>
    <w:rsid w:val="004F31A7"/>
    <w:rsid w:val="004F3A9B"/>
    <w:rsid w:val="004F3ADE"/>
    <w:rsid w:val="004F535F"/>
    <w:rsid w:val="004F5AB0"/>
    <w:rsid w:val="004F69FC"/>
    <w:rsid w:val="004F6A88"/>
    <w:rsid w:val="004F7035"/>
    <w:rsid w:val="004F7C7E"/>
    <w:rsid w:val="00500FF0"/>
    <w:rsid w:val="005016C1"/>
    <w:rsid w:val="0050182A"/>
    <w:rsid w:val="00501861"/>
    <w:rsid w:val="00501BE7"/>
    <w:rsid w:val="00501D41"/>
    <w:rsid w:val="005029E0"/>
    <w:rsid w:val="005039A7"/>
    <w:rsid w:val="005047C9"/>
    <w:rsid w:val="0050487D"/>
    <w:rsid w:val="005059CF"/>
    <w:rsid w:val="0050622E"/>
    <w:rsid w:val="005066F8"/>
    <w:rsid w:val="005107E9"/>
    <w:rsid w:val="00510928"/>
    <w:rsid w:val="00512726"/>
    <w:rsid w:val="00513067"/>
    <w:rsid w:val="00514062"/>
    <w:rsid w:val="005152F9"/>
    <w:rsid w:val="00515AA1"/>
    <w:rsid w:val="00517DCC"/>
    <w:rsid w:val="00517E8F"/>
    <w:rsid w:val="005223D0"/>
    <w:rsid w:val="0052352E"/>
    <w:rsid w:val="0052713E"/>
    <w:rsid w:val="00530593"/>
    <w:rsid w:val="005317E8"/>
    <w:rsid w:val="00532AC9"/>
    <w:rsid w:val="00533299"/>
    <w:rsid w:val="005335E5"/>
    <w:rsid w:val="005340F6"/>
    <w:rsid w:val="0053481A"/>
    <w:rsid w:val="005352A6"/>
    <w:rsid w:val="00535866"/>
    <w:rsid w:val="00535E04"/>
    <w:rsid w:val="0053627A"/>
    <w:rsid w:val="005367D4"/>
    <w:rsid w:val="0053746D"/>
    <w:rsid w:val="005423C0"/>
    <w:rsid w:val="00543BD1"/>
    <w:rsid w:val="00545832"/>
    <w:rsid w:val="00546145"/>
    <w:rsid w:val="00546277"/>
    <w:rsid w:val="005467E2"/>
    <w:rsid w:val="005468ED"/>
    <w:rsid w:val="00547FF2"/>
    <w:rsid w:val="005507FC"/>
    <w:rsid w:val="00551135"/>
    <w:rsid w:val="005516CF"/>
    <w:rsid w:val="00551A11"/>
    <w:rsid w:val="00551F65"/>
    <w:rsid w:val="00552B1F"/>
    <w:rsid w:val="00553D52"/>
    <w:rsid w:val="0055470F"/>
    <w:rsid w:val="00554A34"/>
    <w:rsid w:val="00554CC9"/>
    <w:rsid w:val="0055650D"/>
    <w:rsid w:val="005577F0"/>
    <w:rsid w:val="00560CEF"/>
    <w:rsid w:val="0056136C"/>
    <w:rsid w:val="00561C81"/>
    <w:rsid w:val="0056285F"/>
    <w:rsid w:val="00562CD1"/>
    <w:rsid w:val="00563207"/>
    <w:rsid w:val="00563857"/>
    <w:rsid w:val="00565781"/>
    <w:rsid w:val="00565A87"/>
    <w:rsid w:val="00566AA0"/>
    <w:rsid w:val="0057079C"/>
    <w:rsid w:val="005710CD"/>
    <w:rsid w:val="00571E62"/>
    <w:rsid w:val="00572FA5"/>
    <w:rsid w:val="00573A1E"/>
    <w:rsid w:val="005747C6"/>
    <w:rsid w:val="00574E16"/>
    <w:rsid w:val="0057583B"/>
    <w:rsid w:val="00576509"/>
    <w:rsid w:val="0058005B"/>
    <w:rsid w:val="00582B8E"/>
    <w:rsid w:val="005838A7"/>
    <w:rsid w:val="005838DC"/>
    <w:rsid w:val="00583B5C"/>
    <w:rsid w:val="00583F28"/>
    <w:rsid w:val="00584C84"/>
    <w:rsid w:val="005850AC"/>
    <w:rsid w:val="005853B3"/>
    <w:rsid w:val="00585E56"/>
    <w:rsid w:val="00586056"/>
    <w:rsid w:val="00586E16"/>
    <w:rsid w:val="005919AD"/>
    <w:rsid w:val="00593BA9"/>
    <w:rsid w:val="00594DA6"/>
    <w:rsid w:val="00596D2B"/>
    <w:rsid w:val="00597C60"/>
    <w:rsid w:val="005A050B"/>
    <w:rsid w:val="005A085F"/>
    <w:rsid w:val="005A11C0"/>
    <w:rsid w:val="005A1B86"/>
    <w:rsid w:val="005A1FF2"/>
    <w:rsid w:val="005A2561"/>
    <w:rsid w:val="005A4FF2"/>
    <w:rsid w:val="005A526D"/>
    <w:rsid w:val="005A53C8"/>
    <w:rsid w:val="005A68FF"/>
    <w:rsid w:val="005A6C20"/>
    <w:rsid w:val="005A73E5"/>
    <w:rsid w:val="005B131D"/>
    <w:rsid w:val="005B1694"/>
    <w:rsid w:val="005B1B19"/>
    <w:rsid w:val="005B50AF"/>
    <w:rsid w:val="005B594E"/>
    <w:rsid w:val="005B7807"/>
    <w:rsid w:val="005C28DD"/>
    <w:rsid w:val="005C44B6"/>
    <w:rsid w:val="005C47C1"/>
    <w:rsid w:val="005C49E6"/>
    <w:rsid w:val="005C51EA"/>
    <w:rsid w:val="005C551D"/>
    <w:rsid w:val="005C58BC"/>
    <w:rsid w:val="005C6187"/>
    <w:rsid w:val="005C664C"/>
    <w:rsid w:val="005C784F"/>
    <w:rsid w:val="005D0EA5"/>
    <w:rsid w:val="005D2E4E"/>
    <w:rsid w:val="005D3591"/>
    <w:rsid w:val="005D47A7"/>
    <w:rsid w:val="005D4C7E"/>
    <w:rsid w:val="005D4E51"/>
    <w:rsid w:val="005D552B"/>
    <w:rsid w:val="005D6372"/>
    <w:rsid w:val="005D771D"/>
    <w:rsid w:val="005D7804"/>
    <w:rsid w:val="005D7A81"/>
    <w:rsid w:val="005E2E4B"/>
    <w:rsid w:val="005E3D64"/>
    <w:rsid w:val="005E3F97"/>
    <w:rsid w:val="005E53CE"/>
    <w:rsid w:val="005E53D4"/>
    <w:rsid w:val="005E6023"/>
    <w:rsid w:val="005E6160"/>
    <w:rsid w:val="005E72CC"/>
    <w:rsid w:val="005F09EC"/>
    <w:rsid w:val="005F0C87"/>
    <w:rsid w:val="005F142A"/>
    <w:rsid w:val="005F1516"/>
    <w:rsid w:val="005F1928"/>
    <w:rsid w:val="005F32A0"/>
    <w:rsid w:val="005F4642"/>
    <w:rsid w:val="005F4945"/>
    <w:rsid w:val="005F4DAA"/>
    <w:rsid w:val="005F4EDD"/>
    <w:rsid w:val="005F51D9"/>
    <w:rsid w:val="005F6085"/>
    <w:rsid w:val="005F629A"/>
    <w:rsid w:val="005F66A6"/>
    <w:rsid w:val="005F7167"/>
    <w:rsid w:val="00600416"/>
    <w:rsid w:val="00600987"/>
    <w:rsid w:val="00601108"/>
    <w:rsid w:val="00601F64"/>
    <w:rsid w:val="00602D81"/>
    <w:rsid w:val="00602FCC"/>
    <w:rsid w:val="006031D0"/>
    <w:rsid w:val="0060326C"/>
    <w:rsid w:val="00603913"/>
    <w:rsid w:val="0060405D"/>
    <w:rsid w:val="00604B36"/>
    <w:rsid w:val="00604DC8"/>
    <w:rsid w:val="00605051"/>
    <w:rsid w:val="00605B29"/>
    <w:rsid w:val="00606930"/>
    <w:rsid w:val="00606A1A"/>
    <w:rsid w:val="00610088"/>
    <w:rsid w:val="00611E30"/>
    <w:rsid w:val="00612475"/>
    <w:rsid w:val="00613A77"/>
    <w:rsid w:val="00613B5E"/>
    <w:rsid w:val="00613C02"/>
    <w:rsid w:val="006143D8"/>
    <w:rsid w:val="00614A59"/>
    <w:rsid w:val="00614D0B"/>
    <w:rsid w:val="00614F18"/>
    <w:rsid w:val="00615282"/>
    <w:rsid w:val="00615357"/>
    <w:rsid w:val="006156C0"/>
    <w:rsid w:val="006207E6"/>
    <w:rsid w:val="006208AE"/>
    <w:rsid w:val="00620911"/>
    <w:rsid w:val="00621702"/>
    <w:rsid w:val="00621F6E"/>
    <w:rsid w:val="00624C93"/>
    <w:rsid w:val="00624FA0"/>
    <w:rsid w:val="0062523A"/>
    <w:rsid w:val="006257D8"/>
    <w:rsid w:val="00625E04"/>
    <w:rsid w:val="00626A50"/>
    <w:rsid w:val="00627F32"/>
    <w:rsid w:val="00630270"/>
    <w:rsid w:val="006306D0"/>
    <w:rsid w:val="00630FEA"/>
    <w:rsid w:val="00632A6E"/>
    <w:rsid w:val="00633DF5"/>
    <w:rsid w:val="00634269"/>
    <w:rsid w:val="00635439"/>
    <w:rsid w:val="00642640"/>
    <w:rsid w:val="00643837"/>
    <w:rsid w:val="006439A1"/>
    <w:rsid w:val="00643B9B"/>
    <w:rsid w:val="00643CBC"/>
    <w:rsid w:val="00644910"/>
    <w:rsid w:val="00644A55"/>
    <w:rsid w:val="00644C34"/>
    <w:rsid w:val="00646F7D"/>
    <w:rsid w:val="00647282"/>
    <w:rsid w:val="00647660"/>
    <w:rsid w:val="00647963"/>
    <w:rsid w:val="00647A75"/>
    <w:rsid w:val="00647D99"/>
    <w:rsid w:val="00651836"/>
    <w:rsid w:val="00652583"/>
    <w:rsid w:val="00656DDC"/>
    <w:rsid w:val="00657524"/>
    <w:rsid w:val="00657B06"/>
    <w:rsid w:val="00660813"/>
    <w:rsid w:val="00660C22"/>
    <w:rsid w:val="00660DBF"/>
    <w:rsid w:val="00661BD0"/>
    <w:rsid w:val="006624BE"/>
    <w:rsid w:val="006625AA"/>
    <w:rsid w:val="00662611"/>
    <w:rsid w:val="006630C5"/>
    <w:rsid w:val="00664ED3"/>
    <w:rsid w:val="00665809"/>
    <w:rsid w:val="00665928"/>
    <w:rsid w:val="00666208"/>
    <w:rsid w:val="00667F43"/>
    <w:rsid w:val="00670D1A"/>
    <w:rsid w:val="00671DFF"/>
    <w:rsid w:val="00672104"/>
    <w:rsid w:val="006739C5"/>
    <w:rsid w:val="00673C2A"/>
    <w:rsid w:val="006751BB"/>
    <w:rsid w:val="006778A3"/>
    <w:rsid w:val="00681771"/>
    <w:rsid w:val="006817E3"/>
    <w:rsid w:val="00682016"/>
    <w:rsid w:val="00682415"/>
    <w:rsid w:val="006825BD"/>
    <w:rsid w:val="0068270F"/>
    <w:rsid w:val="00682919"/>
    <w:rsid w:val="006835D9"/>
    <w:rsid w:val="00683C71"/>
    <w:rsid w:val="00684329"/>
    <w:rsid w:val="00684C4B"/>
    <w:rsid w:val="00685F77"/>
    <w:rsid w:val="00686D30"/>
    <w:rsid w:val="006871B8"/>
    <w:rsid w:val="00687B96"/>
    <w:rsid w:val="00691135"/>
    <w:rsid w:val="0069165C"/>
    <w:rsid w:val="00691B74"/>
    <w:rsid w:val="00691CD7"/>
    <w:rsid w:val="00692A17"/>
    <w:rsid w:val="00692E12"/>
    <w:rsid w:val="0069309E"/>
    <w:rsid w:val="00693C6E"/>
    <w:rsid w:val="00694C83"/>
    <w:rsid w:val="0069608A"/>
    <w:rsid w:val="006977D1"/>
    <w:rsid w:val="006A0E37"/>
    <w:rsid w:val="006A1E6E"/>
    <w:rsid w:val="006A2004"/>
    <w:rsid w:val="006A2FE1"/>
    <w:rsid w:val="006A3172"/>
    <w:rsid w:val="006A428A"/>
    <w:rsid w:val="006A4347"/>
    <w:rsid w:val="006A486D"/>
    <w:rsid w:val="006A5783"/>
    <w:rsid w:val="006A74B8"/>
    <w:rsid w:val="006B0ADD"/>
    <w:rsid w:val="006B14E5"/>
    <w:rsid w:val="006B26CD"/>
    <w:rsid w:val="006B3030"/>
    <w:rsid w:val="006B3260"/>
    <w:rsid w:val="006B36F1"/>
    <w:rsid w:val="006B40E7"/>
    <w:rsid w:val="006B4184"/>
    <w:rsid w:val="006B448E"/>
    <w:rsid w:val="006B4842"/>
    <w:rsid w:val="006B75BB"/>
    <w:rsid w:val="006B7ADC"/>
    <w:rsid w:val="006B7EE2"/>
    <w:rsid w:val="006C062B"/>
    <w:rsid w:val="006C0E98"/>
    <w:rsid w:val="006C10CC"/>
    <w:rsid w:val="006C23D6"/>
    <w:rsid w:val="006C33BD"/>
    <w:rsid w:val="006C3E27"/>
    <w:rsid w:val="006C49EF"/>
    <w:rsid w:val="006C4C42"/>
    <w:rsid w:val="006C633F"/>
    <w:rsid w:val="006C6FA7"/>
    <w:rsid w:val="006C70A0"/>
    <w:rsid w:val="006C71D1"/>
    <w:rsid w:val="006C7D50"/>
    <w:rsid w:val="006D19E9"/>
    <w:rsid w:val="006D267A"/>
    <w:rsid w:val="006D26B8"/>
    <w:rsid w:val="006D2A90"/>
    <w:rsid w:val="006D2DF3"/>
    <w:rsid w:val="006D30BA"/>
    <w:rsid w:val="006D68A4"/>
    <w:rsid w:val="006D6A40"/>
    <w:rsid w:val="006D6A5D"/>
    <w:rsid w:val="006D7001"/>
    <w:rsid w:val="006D7758"/>
    <w:rsid w:val="006D7BC5"/>
    <w:rsid w:val="006D7E64"/>
    <w:rsid w:val="006E020C"/>
    <w:rsid w:val="006E1AB0"/>
    <w:rsid w:val="006E1B77"/>
    <w:rsid w:val="006E2658"/>
    <w:rsid w:val="006E2A56"/>
    <w:rsid w:val="006E2A85"/>
    <w:rsid w:val="006E2C19"/>
    <w:rsid w:val="006E38FF"/>
    <w:rsid w:val="006E3A68"/>
    <w:rsid w:val="006E40EB"/>
    <w:rsid w:val="006E4CAF"/>
    <w:rsid w:val="006E539F"/>
    <w:rsid w:val="006E5980"/>
    <w:rsid w:val="006E60B4"/>
    <w:rsid w:val="006F0B73"/>
    <w:rsid w:val="006F1DB6"/>
    <w:rsid w:val="006F2494"/>
    <w:rsid w:val="006F2728"/>
    <w:rsid w:val="006F36C1"/>
    <w:rsid w:val="006F3A2F"/>
    <w:rsid w:val="006F4103"/>
    <w:rsid w:val="006F5175"/>
    <w:rsid w:val="006F528E"/>
    <w:rsid w:val="006F5D75"/>
    <w:rsid w:val="006F675A"/>
    <w:rsid w:val="006F68CB"/>
    <w:rsid w:val="006F7B35"/>
    <w:rsid w:val="007001E5"/>
    <w:rsid w:val="007006D1"/>
    <w:rsid w:val="007008B6"/>
    <w:rsid w:val="0070451D"/>
    <w:rsid w:val="00704F4F"/>
    <w:rsid w:val="00706396"/>
    <w:rsid w:val="007068A8"/>
    <w:rsid w:val="00707511"/>
    <w:rsid w:val="0071085C"/>
    <w:rsid w:val="00711E4E"/>
    <w:rsid w:val="007120F6"/>
    <w:rsid w:val="007124C6"/>
    <w:rsid w:val="0071291F"/>
    <w:rsid w:val="007129AB"/>
    <w:rsid w:val="00712B6B"/>
    <w:rsid w:val="0071311E"/>
    <w:rsid w:val="00714407"/>
    <w:rsid w:val="00714434"/>
    <w:rsid w:val="00714B82"/>
    <w:rsid w:val="00715AB9"/>
    <w:rsid w:val="00716715"/>
    <w:rsid w:val="00720C2D"/>
    <w:rsid w:val="007210C6"/>
    <w:rsid w:val="00721273"/>
    <w:rsid w:val="007212E1"/>
    <w:rsid w:val="00721C42"/>
    <w:rsid w:val="00722A87"/>
    <w:rsid w:val="00723252"/>
    <w:rsid w:val="00723639"/>
    <w:rsid w:val="00724B5A"/>
    <w:rsid w:val="007250DC"/>
    <w:rsid w:val="00726614"/>
    <w:rsid w:val="00726C6D"/>
    <w:rsid w:val="00726E9D"/>
    <w:rsid w:val="00730A8F"/>
    <w:rsid w:val="00730D23"/>
    <w:rsid w:val="00730F35"/>
    <w:rsid w:val="00731616"/>
    <w:rsid w:val="00732387"/>
    <w:rsid w:val="00732D19"/>
    <w:rsid w:val="00732F32"/>
    <w:rsid w:val="0073340A"/>
    <w:rsid w:val="00733522"/>
    <w:rsid w:val="00734130"/>
    <w:rsid w:val="00734903"/>
    <w:rsid w:val="00735231"/>
    <w:rsid w:val="0073537A"/>
    <w:rsid w:val="00735CB0"/>
    <w:rsid w:val="00736BB1"/>
    <w:rsid w:val="00736E5F"/>
    <w:rsid w:val="00737013"/>
    <w:rsid w:val="00737738"/>
    <w:rsid w:val="00740621"/>
    <w:rsid w:val="0074108C"/>
    <w:rsid w:val="00741680"/>
    <w:rsid w:val="00741A60"/>
    <w:rsid w:val="0074313C"/>
    <w:rsid w:val="00743BFC"/>
    <w:rsid w:val="00745AD7"/>
    <w:rsid w:val="00745FAA"/>
    <w:rsid w:val="0074768A"/>
    <w:rsid w:val="00747F71"/>
    <w:rsid w:val="007500D2"/>
    <w:rsid w:val="0075067B"/>
    <w:rsid w:val="00751C86"/>
    <w:rsid w:val="00753978"/>
    <w:rsid w:val="007545A4"/>
    <w:rsid w:val="00754C99"/>
    <w:rsid w:val="0075507C"/>
    <w:rsid w:val="00755CB2"/>
    <w:rsid w:val="00755F4C"/>
    <w:rsid w:val="00756471"/>
    <w:rsid w:val="00756965"/>
    <w:rsid w:val="00756AD0"/>
    <w:rsid w:val="00756BED"/>
    <w:rsid w:val="0075703B"/>
    <w:rsid w:val="00757EE4"/>
    <w:rsid w:val="00762C77"/>
    <w:rsid w:val="0076337C"/>
    <w:rsid w:val="00763DA0"/>
    <w:rsid w:val="00764280"/>
    <w:rsid w:val="00764A82"/>
    <w:rsid w:val="00765407"/>
    <w:rsid w:val="00767423"/>
    <w:rsid w:val="007679A6"/>
    <w:rsid w:val="00767D2F"/>
    <w:rsid w:val="00770899"/>
    <w:rsid w:val="00770A27"/>
    <w:rsid w:val="007715E5"/>
    <w:rsid w:val="00774425"/>
    <w:rsid w:val="007746A4"/>
    <w:rsid w:val="00774BC6"/>
    <w:rsid w:val="00774CAC"/>
    <w:rsid w:val="007750BC"/>
    <w:rsid w:val="007758B5"/>
    <w:rsid w:val="0077613A"/>
    <w:rsid w:val="0077655C"/>
    <w:rsid w:val="0077686E"/>
    <w:rsid w:val="00780835"/>
    <w:rsid w:val="00780A96"/>
    <w:rsid w:val="007811BA"/>
    <w:rsid w:val="00781442"/>
    <w:rsid w:val="007817E7"/>
    <w:rsid w:val="00782576"/>
    <w:rsid w:val="007825C1"/>
    <w:rsid w:val="00782A01"/>
    <w:rsid w:val="00782FB1"/>
    <w:rsid w:val="007836A8"/>
    <w:rsid w:val="007868D2"/>
    <w:rsid w:val="00786A74"/>
    <w:rsid w:val="00790727"/>
    <w:rsid w:val="00792689"/>
    <w:rsid w:val="00792CDB"/>
    <w:rsid w:val="00792F73"/>
    <w:rsid w:val="00794579"/>
    <w:rsid w:val="00794A69"/>
    <w:rsid w:val="007955A3"/>
    <w:rsid w:val="007961E9"/>
    <w:rsid w:val="007977D4"/>
    <w:rsid w:val="007A054A"/>
    <w:rsid w:val="007A135A"/>
    <w:rsid w:val="007A1BC8"/>
    <w:rsid w:val="007A2A86"/>
    <w:rsid w:val="007A3AEB"/>
    <w:rsid w:val="007A46BB"/>
    <w:rsid w:val="007A4EAB"/>
    <w:rsid w:val="007A59E8"/>
    <w:rsid w:val="007A5B5D"/>
    <w:rsid w:val="007A794A"/>
    <w:rsid w:val="007A7C15"/>
    <w:rsid w:val="007B00AC"/>
    <w:rsid w:val="007B01CD"/>
    <w:rsid w:val="007B0640"/>
    <w:rsid w:val="007B0830"/>
    <w:rsid w:val="007B0BC8"/>
    <w:rsid w:val="007B2523"/>
    <w:rsid w:val="007B2C9E"/>
    <w:rsid w:val="007B3B60"/>
    <w:rsid w:val="007B545B"/>
    <w:rsid w:val="007B5C00"/>
    <w:rsid w:val="007B6032"/>
    <w:rsid w:val="007B694B"/>
    <w:rsid w:val="007B7604"/>
    <w:rsid w:val="007B7629"/>
    <w:rsid w:val="007B7E91"/>
    <w:rsid w:val="007C0B2C"/>
    <w:rsid w:val="007C0F83"/>
    <w:rsid w:val="007C11A8"/>
    <w:rsid w:val="007C1565"/>
    <w:rsid w:val="007C4176"/>
    <w:rsid w:val="007C44EE"/>
    <w:rsid w:val="007C4939"/>
    <w:rsid w:val="007C565A"/>
    <w:rsid w:val="007C5E58"/>
    <w:rsid w:val="007C6D96"/>
    <w:rsid w:val="007C6DDC"/>
    <w:rsid w:val="007C78FA"/>
    <w:rsid w:val="007C7B64"/>
    <w:rsid w:val="007D04BB"/>
    <w:rsid w:val="007D06A4"/>
    <w:rsid w:val="007D11DA"/>
    <w:rsid w:val="007D143B"/>
    <w:rsid w:val="007D14C2"/>
    <w:rsid w:val="007D190C"/>
    <w:rsid w:val="007D22AE"/>
    <w:rsid w:val="007D299E"/>
    <w:rsid w:val="007D2B2F"/>
    <w:rsid w:val="007D2CE9"/>
    <w:rsid w:val="007D3197"/>
    <w:rsid w:val="007D411E"/>
    <w:rsid w:val="007D4849"/>
    <w:rsid w:val="007D5743"/>
    <w:rsid w:val="007D5DBA"/>
    <w:rsid w:val="007D63B3"/>
    <w:rsid w:val="007D7AFB"/>
    <w:rsid w:val="007E0441"/>
    <w:rsid w:val="007E0910"/>
    <w:rsid w:val="007E1454"/>
    <w:rsid w:val="007E2505"/>
    <w:rsid w:val="007E260D"/>
    <w:rsid w:val="007E28A4"/>
    <w:rsid w:val="007E43B7"/>
    <w:rsid w:val="007E4D8F"/>
    <w:rsid w:val="007E4DC7"/>
    <w:rsid w:val="007E4DCA"/>
    <w:rsid w:val="007E545A"/>
    <w:rsid w:val="007E572A"/>
    <w:rsid w:val="007E5FFC"/>
    <w:rsid w:val="007E600F"/>
    <w:rsid w:val="007E772A"/>
    <w:rsid w:val="007E79DD"/>
    <w:rsid w:val="007F01D6"/>
    <w:rsid w:val="007F31ED"/>
    <w:rsid w:val="007F4C13"/>
    <w:rsid w:val="007F6183"/>
    <w:rsid w:val="007F638B"/>
    <w:rsid w:val="007F6691"/>
    <w:rsid w:val="007F66B8"/>
    <w:rsid w:val="007F6AF1"/>
    <w:rsid w:val="007F6D4A"/>
    <w:rsid w:val="007F7012"/>
    <w:rsid w:val="007F73A2"/>
    <w:rsid w:val="00800758"/>
    <w:rsid w:val="0080113B"/>
    <w:rsid w:val="00801BDF"/>
    <w:rsid w:val="008035F2"/>
    <w:rsid w:val="00805617"/>
    <w:rsid w:val="008063C6"/>
    <w:rsid w:val="00806A50"/>
    <w:rsid w:val="00810771"/>
    <w:rsid w:val="00810845"/>
    <w:rsid w:val="0081282E"/>
    <w:rsid w:val="00813191"/>
    <w:rsid w:val="0081353D"/>
    <w:rsid w:val="00813865"/>
    <w:rsid w:val="008150C6"/>
    <w:rsid w:val="008150E2"/>
    <w:rsid w:val="00816A25"/>
    <w:rsid w:val="00817951"/>
    <w:rsid w:val="00821032"/>
    <w:rsid w:val="00822C38"/>
    <w:rsid w:val="00822EA7"/>
    <w:rsid w:val="008246D7"/>
    <w:rsid w:val="00824BBD"/>
    <w:rsid w:val="008261E9"/>
    <w:rsid w:val="0082683A"/>
    <w:rsid w:val="008268FC"/>
    <w:rsid w:val="0082708D"/>
    <w:rsid w:val="008270F1"/>
    <w:rsid w:val="008270F9"/>
    <w:rsid w:val="008272CC"/>
    <w:rsid w:val="008309A3"/>
    <w:rsid w:val="008312B6"/>
    <w:rsid w:val="00832B9C"/>
    <w:rsid w:val="00833B36"/>
    <w:rsid w:val="0083430B"/>
    <w:rsid w:val="00834E9F"/>
    <w:rsid w:val="00835B17"/>
    <w:rsid w:val="00835DF9"/>
    <w:rsid w:val="0083673B"/>
    <w:rsid w:val="00836E10"/>
    <w:rsid w:val="008370A6"/>
    <w:rsid w:val="0084018C"/>
    <w:rsid w:val="00840923"/>
    <w:rsid w:val="00840EB4"/>
    <w:rsid w:val="008417A4"/>
    <w:rsid w:val="00841AD4"/>
    <w:rsid w:val="00842CFD"/>
    <w:rsid w:val="008435BB"/>
    <w:rsid w:val="0084454D"/>
    <w:rsid w:val="008445AD"/>
    <w:rsid w:val="00845D4D"/>
    <w:rsid w:val="00846833"/>
    <w:rsid w:val="00846EA4"/>
    <w:rsid w:val="008476D0"/>
    <w:rsid w:val="00847C93"/>
    <w:rsid w:val="00847D90"/>
    <w:rsid w:val="008507B0"/>
    <w:rsid w:val="00850A55"/>
    <w:rsid w:val="00850F74"/>
    <w:rsid w:val="0085166B"/>
    <w:rsid w:val="00852154"/>
    <w:rsid w:val="0085290F"/>
    <w:rsid w:val="00852E5C"/>
    <w:rsid w:val="008533A5"/>
    <w:rsid w:val="0085396A"/>
    <w:rsid w:val="00855318"/>
    <w:rsid w:val="00862C1F"/>
    <w:rsid w:val="00862D4B"/>
    <w:rsid w:val="008644B3"/>
    <w:rsid w:val="00866E20"/>
    <w:rsid w:val="0086702A"/>
    <w:rsid w:val="008671C1"/>
    <w:rsid w:val="00867496"/>
    <w:rsid w:val="008675AF"/>
    <w:rsid w:val="008700F6"/>
    <w:rsid w:val="00870D08"/>
    <w:rsid w:val="00871E62"/>
    <w:rsid w:val="00872558"/>
    <w:rsid w:val="00872621"/>
    <w:rsid w:val="00872FE8"/>
    <w:rsid w:val="0087317A"/>
    <w:rsid w:val="00873214"/>
    <w:rsid w:val="008737A8"/>
    <w:rsid w:val="008763FD"/>
    <w:rsid w:val="008769D0"/>
    <w:rsid w:val="00876C12"/>
    <w:rsid w:val="00880596"/>
    <w:rsid w:val="008807E2"/>
    <w:rsid w:val="00882081"/>
    <w:rsid w:val="0088373B"/>
    <w:rsid w:val="00883CB9"/>
    <w:rsid w:val="00883CCE"/>
    <w:rsid w:val="0088424A"/>
    <w:rsid w:val="008847A4"/>
    <w:rsid w:val="00884D1D"/>
    <w:rsid w:val="00885F55"/>
    <w:rsid w:val="00886500"/>
    <w:rsid w:val="008878E3"/>
    <w:rsid w:val="00890AE3"/>
    <w:rsid w:val="008915EA"/>
    <w:rsid w:val="008922B8"/>
    <w:rsid w:val="008934FD"/>
    <w:rsid w:val="00893702"/>
    <w:rsid w:val="0089481F"/>
    <w:rsid w:val="008949EB"/>
    <w:rsid w:val="00895A11"/>
    <w:rsid w:val="00895A20"/>
    <w:rsid w:val="008964E4"/>
    <w:rsid w:val="008A0145"/>
    <w:rsid w:val="008A059D"/>
    <w:rsid w:val="008A086C"/>
    <w:rsid w:val="008A14D2"/>
    <w:rsid w:val="008A17CC"/>
    <w:rsid w:val="008A1B38"/>
    <w:rsid w:val="008A1CC4"/>
    <w:rsid w:val="008A1F19"/>
    <w:rsid w:val="008A38E5"/>
    <w:rsid w:val="008A3C75"/>
    <w:rsid w:val="008A43C4"/>
    <w:rsid w:val="008A4CAC"/>
    <w:rsid w:val="008A5779"/>
    <w:rsid w:val="008A590E"/>
    <w:rsid w:val="008A79A1"/>
    <w:rsid w:val="008B03F3"/>
    <w:rsid w:val="008B1AC9"/>
    <w:rsid w:val="008B246B"/>
    <w:rsid w:val="008B2892"/>
    <w:rsid w:val="008B4478"/>
    <w:rsid w:val="008B72AE"/>
    <w:rsid w:val="008C040E"/>
    <w:rsid w:val="008C15BF"/>
    <w:rsid w:val="008C15F8"/>
    <w:rsid w:val="008C19BD"/>
    <w:rsid w:val="008C1C37"/>
    <w:rsid w:val="008C421D"/>
    <w:rsid w:val="008C46C7"/>
    <w:rsid w:val="008C4C91"/>
    <w:rsid w:val="008C5FCC"/>
    <w:rsid w:val="008C61C7"/>
    <w:rsid w:val="008C6642"/>
    <w:rsid w:val="008C68F2"/>
    <w:rsid w:val="008D0572"/>
    <w:rsid w:val="008D0ED0"/>
    <w:rsid w:val="008D216B"/>
    <w:rsid w:val="008D24F1"/>
    <w:rsid w:val="008D25F1"/>
    <w:rsid w:val="008D4663"/>
    <w:rsid w:val="008D4923"/>
    <w:rsid w:val="008D4E7E"/>
    <w:rsid w:val="008D59A2"/>
    <w:rsid w:val="008D5F8B"/>
    <w:rsid w:val="008D6327"/>
    <w:rsid w:val="008E00C6"/>
    <w:rsid w:val="008E0FAB"/>
    <w:rsid w:val="008E1EF6"/>
    <w:rsid w:val="008E2002"/>
    <w:rsid w:val="008E3DAF"/>
    <w:rsid w:val="008E4069"/>
    <w:rsid w:val="008E46CB"/>
    <w:rsid w:val="008E6011"/>
    <w:rsid w:val="008E62FE"/>
    <w:rsid w:val="008E6D62"/>
    <w:rsid w:val="008F2BD0"/>
    <w:rsid w:val="008F34EC"/>
    <w:rsid w:val="008F4CC5"/>
    <w:rsid w:val="008F5305"/>
    <w:rsid w:val="008F5F4D"/>
    <w:rsid w:val="008F6DE0"/>
    <w:rsid w:val="0090052A"/>
    <w:rsid w:val="00900FC7"/>
    <w:rsid w:val="0090159D"/>
    <w:rsid w:val="009015B6"/>
    <w:rsid w:val="00901CB5"/>
    <w:rsid w:val="00902CDA"/>
    <w:rsid w:val="00903875"/>
    <w:rsid w:val="00903902"/>
    <w:rsid w:val="009042CF"/>
    <w:rsid w:val="00904BE6"/>
    <w:rsid w:val="00905F46"/>
    <w:rsid w:val="009060D7"/>
    <w:rsid w:val="00910792"/>
    <w:rsid w:val="00910D2A"/>
    <w:rsid w:val="00911358"/>
    <w:rsid w:val="009120C4"/>
    <w:rsid w:val="00912545"/>
    <w:rsid w:val="009125DB"/>
    <w:rsid w:val="00915543"/>
    <w:rsid w:val="00915613"/>
    <w:rsid w:val="00915E45"/>
    <w:rsid w:val="00916D1A"/>
    <w:rsid w:val="00916F34"/>
    <w:rsid w:val="0091708F"/>
    <w:rsid w:val="00917BC1"/>
    <w:rsid w:val="00917C74"/>
    <w:rsid w:val="009204B6"/>
    <w:rsid w:val="0092189F"/>
    <w:rsid w:val="00922996"/>
    <w:rsid w:val="00922CD2"/>
    <w:rsid w:val="00923866"/>
    <w:rsid w:val="0092393E"/>
    <w:rsid w:val="0092459D"/>
    <w:rsid w:val="0092465B"/>
    <w:rsid w:val="00924C1A"/>
    <w:rsid w:val="00925879"/>
    <w:rsid w:val="00926767"/>
    <w:rsid w:val="00926954"/>
    <w:rsid w:val="00926D04"/>
    <w:rsid w:val="00926FD4"/>
    <w:rsid w:val="009272B3"/>
    <w:rsid w:val="009278C2"/>
    <w:rsid w:val="00930379"/>
    <w:rsid w:val="00931230"/>
    <w:rsid w:val="00932A06"/>
    <w:rsid w:val="00932B1E"/>
    <w:rsid w:val="00932E97"/>
    <w:rsid w:val="009338D7"/>
    <w:rsid w:val="009342A3"/>
    <w:rsid w:val="009359BB"/>
    <w:rsid w:val="00935C2A"/>
    <w:rsid w:val="00935DE9"/>
    <w:rsid w:val="00936CB3"/>
    <w:rsid w:val="00936D8D"/>
    <w:rsid w:val="00937F0F"/>
    <w:rsid w:val="009406DF"/>
    <w:rsid w:val="00941D19"/>
    <w:rsid w:val="00942D3D"/>
    <w:rsid w:val="0094336C"/>
    <w:rsid w:val="00944684"/>
    <w:rsid w:val="009447EB"/>
    <w:rsid w:val="00945115"/>
    <w:rsid w:val="00945120"/>
    <w:rsid w:val="00945326"/>
    <w:rsid w:val="00947A2A"/>
    <w:rsid w:val="00950C68"/>
    <w:rsid w:val="00952273"/>
    <w:rsid w:val="0095298B"/>
    <w:rsid w:val="00953016"/>
    <w:rsid w:val="00953FC2"/>
    <w:rsid w:val="00954230"/>
    <w:rsid w:val="00955404"/>
    <w:rsid w:val="00955D3F"/>
    <w:rsid w:val="0095627D"/>
    <w:rsid w:val="00956347"/>
    <w:rsid w:val="0095690B"/>
    <w:rsid w:val="00956B1C"/>
    <w:rsid w:val="00956C39"/>
    <w:rsid w:val="00957BC0"/>
    <w:rsid w:val="00960117"/>
    <w:rsid w:val="009605E2"/>
    <w:rsid w:val="00960746"/>
    <w:rsid w:val="0096098C"/>
    <w:rsid w:val="00961C47"/>
    <w:rsid w:val="00964A08"/>
    <w:rsid w:val="00964C4B"/>
    <w:rsid w:val="00965EE5"/>
    <w:rsid w:val="009664CF"/>
    <w:rsid w:val="0096689D"/>
    <w:rsid w:val="009669C3"/>
    <w:rsid w:val="00967281"/>
    <w:rsid w:val="00971FC4"/>
    <w:rsid w:val="0097264B"/>
    <w:rsid w:val="00972E22"/>
    <w:rsid w:val="00973073"/>
    <w:rsid w:val="00974559"/>
    <w:rsid w:val="009757ED"/>
    <w:rsid w:val="00975A03"/>
    <w:rsid w:val="00975EEA"/>
    <w:rsid w:val="009773A3"/>
    <w:rsid w:val="009801ED"/>
    <w:rsid w:val="009803B1"/>
    <w:rsid w:val="00980ECD"/>
    <w:rsid w:val="00981B5F"/>
    <w:rsid w:val="00984776"/>
    <w:rsid w:val="00985113"/>
    <w:rsid w:val="0098581A"/>
    <w:rsid w:val="00986743"/>
    <w:rsid w:val="00990160"/>
    <w:rsid w:val="00991C9A"/>
    <w:rsid w:val="00992683"/>
    <w:rsid w:val="00992EDE"/>
    <w:rsid w:val="00993DB4"/>
    <w:rsid w:val="009946BE"/>
    <w:rsid w:val="00994ECF"/>
    <w:rsid w:val="00994F14"/>
    <w:rsid w:val="00995239"/>
    <w:rsid w:val="00995501"/>
    <w:rsid w:val="00995FDA"/>
    <w:rsid w:val="00996780"/>
    <w:rsid w:val="009A0F8A"/>
    <w:rsid w:val="009A2513"/>
    <w:rsid w:val="009A328A"/>
    <w:rsid w:val="009A3491"/>
    <w:rsid w:val="009A36A3"/>
    <w:rsid w:val="009A450C"/>
    <w:rsid w:val="009A67DC"/>
    <w:rsid w:val="009A742F"/>
    <w:rsid w:val="009A74A4"/>
    <w:rsid w:val="009A7B81"/>
    <w:rsid w:val="009A7C3B"/>
    <w:rsid w:val="009B06CF"/>
    <w:rsid w:val="009B1984"/>
    <w:rsid w:val="009B217A"/>
    <w:rsid w:val="009B250B"/>
    <w:rsid w:val="009B27BB"/>
    <w:rsid w:val="009B2859"/>
    <w:rsid w:val="009B3920"/>
    <w:rsid w:val="009B41DF"/>
    <w:rsid w:val="009B4328"/>
    <w:rsid w:val="009B4730"/>
    <w:rsid w:val="009B506A"/>
    <w:rsid w:val="009B594F"/>
    <w:rsid w:val="009B59F3"/>
    <w:rsid w:val="009B6A06"/>
    <w:rsid w:val="009C0051"/>
    <w:rsid w:val="009C1A65"/>
    <w:rsid w:val="009C2569"/>
    <w:rsid w:val="009C2DCB"/>
    <w:rsid w:val="009C42EA"/>
    <w:rsid w:val="009C48B2"/>
    <w:rsid w:val="009C5202"/>
    <w:rsid w:val="009C5280"/>
    <w:rsid w:val="009C640F"/>
    <w:rsid w:val="009C6B5E"/>
    <w:rsid w:val="009C6E6D"/>
    <w:rsid w:val="009C7200"/>
    <w:rsid w:val="009C7433"/>
    <w:rsid w:val="009D0AAE"/>
    <w:rsid w:val="009D1104"/>
    <w:rsid w:val="009D2D2A"/>
    <w:rsid w:val="009D303E"/>
    <w:rsid w:val="009D3821"/>
    <w:rsid w:val="009D3A48"/>
    <w:rsid w:val="009D4C09"/>
    <w:rsid w:val="009D4F0F"/>
    <w:rsid w:val="009D4F27"/>
    <w:rsid w:val="009D7511"/>
    <w:rsid w:val="009E1F0D"/>
    <w:rsid w:val="009E2A0C"/>
    <w:rsid w:val="009E2CC9"/>
    <w:rsid w:val="009E41C0"/>
    <w:rsid w:val="009E5258"/>
    <w:rsid w:val="009E5AA4"/>
    <w:rsid w:val="009E5FB8"/>
    <w:rsid w:val="009E632C"/>
    <w:rsid w:val="009E6764"/>
    <w:rsid w:val="009E683E"/>
    <w:rsid w:val="009E7290"/>
    <w:rsid w:val="009F1316"/>
    <w:rsid w:val="009F2070"/>
    <w:rsid w:val="009F2266"/>
    <w:rsid w:val="009F3663"/>
    <w:rsid w:val="009F3AB1"/>
    <w:rsid w:val="009F3C78"/>
    <w:rsid w:val="009F5644"/>
    <w:rsid w:val="009F6519"/>
    <w:rsid w:val="009F6EE5"/>
    <w:rsid w:val="009F7F0A"/>
    <w:rsid w:val="00A00294"/>
    <w:rsid w:val="00A0058F"/>
    <w:rsid w:val="00A012C8"/>
    <w:rsid w:val="00A016FE"/>
    <w:rsid w:val="00A01930"/>
    <w:rsid w:val="00A01D9A"/>
    <w:rsid w:val="00A02EC7"/>
    <w:rsid w:val="00A03119"/>
    <w:rsid w:val="00A03BDF"/>
    <w:rsid w:val="00A04113"/>
    <w:rsid w:val="00A048FB"/>
    <w:rsid w:val="00A05E78"/>
    <w:rsid w:val="00A0602E"/>
    <w:rsid w:val="00A06D8C"/>
    <w:rsid w:val="00A06F08"/>
    <w:rsid w:val="00A10278"/>
    <w:rsid w:val="00A10457"/>
    <w:rsid w:val="00A12A1D"/>
    <w:rsid w:val="00A13107"/>
    <w:rsid w:val="00A13330"/>
    <w:rsid w:val="00A1366A"/>
    <w:rsid w:val="00A16E4B"/>
    <w:rsid w:val="00A1780B"/>
    <w:rsid w:val="00A21A5A"/>
    <w:rsid w:val="00A2222A"/>
    <w:rsid w:val="00A234D4"/>
    <w:rsid w:val="00A23F42"/>
    <w:rsid w:val="00A249F4"/>
    <w:rsid w:val="00A24B10"/>
    <w:rsid w:val="00A25CC7"/>
    <w:rsid w:val="00A26492"/>
    <w:rsid w:val="00A265DA"/>
    <w:rsid w:val="00A273D4"/>
    <w:rsid w:val="00A278A2"/>
    <w:rsid w:val="00A32604"/>
    <w:rsid w:val="00A32E9B"/>
    <w:rsid w:val="00A33285"/>
    <w:rsid w:val="00A33DE8"/>
    <w:rsid w:val="00A35915"/>
    <w:rsid w:val="00A35B74"/>
    <w:rsid w:val="00A3646E"/>
    <w:rsid w:val="00A36E05"/>
    <w:rsid w:val="00A37CBF"/>
    <w:rsid w:val="00A4048A"/>
    <w:rsid w:val="00A4048E"/>
    <w:rsid w:val="00A42137"/>
    <w:rsid w:val="00A42298"/>
    <w:rsid w:val="00A42C26"/>
    <w:rsid w:val="00A44E58"/>
    <w:rsid w:val="00A45DE3"/>
    <w:rsid w:val="00A46A67"/>
    <w:rsid w:val="00A46EED"/>
    <w:rsid w:val="00A47C5F"/>
    <w:rsid w:val="00A47C8A"/>
    <w:rsid w:val="00A50697"/>
    <w:rsid w:val="00A5145A"/>
    <w:rsid w:val="00A517AD"/>
    <w:rsid w:val="00A52108"/>
    <w:rsid w:val="00A5265F"/>
    <w:rsid w:val="00A52E41"/>
    <w:rsid w:val="00A534C3"/>
    <w:rsid w:val="00A543A8"/>
    <w:rsid w:val="00A5540E"/>
    <w:rsid w:val="00A55875"/>
    <w:rsid w:val="00A55C9D"/>
    <w:rsid w:val="00A5623A"/>
    <w:rsid w:val="00A56392"/>
    <w:rsid w:val="00A56447"/>
    <w:rsid w:val="00A5748E"/>
    <w:rsid w:val="00A6015F"/>
    <w:rsid w:val="00A6076B"/>
    <w:rsid w:val="00A609A9"/>
    <w:rsid w:val="00A62565"/>
    <w:rsid w:val="00A63ABC"/>
    <w:rsid w:val="00A64AA8"/>
    <w:rsid w:val="00A65B2D"/>
    <w:rsid w:val="00A6617B"/>
    <w:rsid w:val="00A665B1"/>
    <w:rsid w:val="00A66D41"/>
    <w:rsid w:val="00A66DF6"/>
    <w:rsid w:val="00A67223"/>
    <w:rsid w:val="00A67EA9"/>
    <w:rsid w:val="00A701C8"/>
    <w:rsid w:val="00A71A3D"/>
    <w:rsid w:val="00A72159"/>
    <w:rsid w:val="00A72C60"/>
    <w:rsid w:val="00A730CC"/>
    <w:rsid w:val="00A7318F"/>
    <w:rsid w:val="00A73324"/>
    <w:rsid w:val="00A73503"/>
    <w:rsid w:val="00A73684"/>
    <w:rsid w:val="00A7465B"/>
    <w:rsid w:val="00A7490C"/>
    <w:rsid w:val="00A749EE"/>
    <w:rsid w:val="00A75691"/>
    <w:rsid w:val="00A76DEF"/>
    <w:rsid w:val="00A7763B"/>
    <w:rsid w:val="00A77AE4"/>
    <w:rsid w:val="00A77C70"/>
    <w:rsid w:val="00A77C80"/>
    <w:rsid w:val="00A805D4"/>
    <w:rsid w:val="00A81A0C"/>
    <w:rsid w:val="00A81ED6"/>
    <w:rsid w:val="00A848E4"/>
    <w:rsid w:val="00A84FAB"/>
    <w:rsid w:val="00A858DC"/>
    <w:rsid w:val="00A86182"/>
    <w:rsid w:val="00A86ED7"/>
    <w:rsid w:val="00A91BD6"/>
    <w:rsid w:val="00A93BAC"/>
    <w:rsid w:val="00A94D86"/>
    <w:rsid w:val="00A950AC"/>
    <w:rsid w:val="00A9561B"/>
    <w:rsid w:val="00A968B5"/>
    <w:rsid w:val="00AA00C1"/>
    <w:rsid w:val="00AA2F3D"/>
    <w:rsid w:val="00AA311A"/>
    <w:rsid w:val="00AA3CDD"/>
    <w:rsid w:val="00AA3FEC"/>
    <w:rsid w:val="00AA425A"/>
    <w:rsid w:val="00AA43B5"/>
    <w:rsid w:val="00AA4501"/>
    <w:rsid w:val="00AA4A8C"/>
    <w:rsid w:val="00AA4D1B"/>
    <w:rsid w:val="00AA5085"/>
    <w:rsid w:val="00AA61E3"/>
    <w:rsid w:val="00AA66EA"/>
    <w:rsid w:val="00AB0942"/>
    <w:rsid w:val="00AB0F93"/>
    <w:rsid w:val="00AB369F"/>
    <w:rsid w:val="00AB3D9B"/>
    <w:rsid w:val="00AB3E7C"/>
    <w:rsid w:val="00AB486E"/>
    <w:rsid w:val="00AB6C79"/>
    <w:rsid w:val="00AB7D5A"/>
    <w:rsid w:val="00AB7D97"/>
    <w:rsid w:val="00AC00B6"/>
    <w:rsid w:val="00AC01F3"/>
    <w:rsid w:val="00AC0AF1"/>
    <w:rsid w:val="00AC2D71"/>
    <w:rsid w:val="00AC3CFA"/>
    <w:rsid w:val="00AC6021"/>
    <w:rsid w:val="00AC6962"/>
    <w:rsid w:val="00AC7072"/>
    <w:rsid w:val="00AC7329"/>
    <w:rsid w:val="00AC742E"/>
    <w:rsid w:val="00AC7798"/>
    <w:rsid w:val="00AD0DCD"/>
    <w:rsid w:val="00AD151D"/>
    <w:rsid w:val="00AD3078"/>
    <w:rsid w:val="00AD3DC4"/>
    <w:rsid w:val="00AD4069"/>
    <w:rsid w:val="00AD4EFD"/>
    <w:rsid w:val="00AD54FC"/>
    <w:rsid w:val="00AD5C83"/>
    <w:rsid w:val="00AD5D16"/>
    <w:rsid w:val="00AD6E75"/>
    <w:rsid w:val="00AD79DF"/>
    <w:rsid w:val="00AD7A48"/>
    <w:rsid w:val="00AE1D1A"/>
    <w:rsid w:val="00AE3281"/>
    <w:rsid w:val="00AE3424"/>
    <w:rsid w:val="00AE3628"/>
    <w:rsid w:val="00AE4EFC"/>
    <w:rsid w:val="00AE59D3"/>
    <w:rsid w:val="00AE5B84"/>
    <w:rsid w:val="00AE6217"/>
    <w:rsid w:val="00AE7B10"/>
    <w:rsid w:val="00AF0ACE"/>
    <w:rsid w:val="00AF16CE"/>
    <w:rsid w:val="00AF18B8"/>
    <w:rsid w:val="00AF2712"/>
    <w:rsid w:val="00AF2E4A"/>
    <w:rsid w:val="00AF3D55"/>
    <w:rsid w:val="00AF3E69"/>
    <w:rsid w:val="00AF4738"/>
    <w:rsid w:val="00AF53BF"/>
    <w:rsid w:val="00AF5EF3"/>
    <w:rsid w:val="00AF62E8"/>
    <w:rsid w:val="00AF69E6"/>
    <w:rsid w:val="00AF738D"/>
    <w:rsid w:val="00AF7912"/>
    <w:rsid w:val="00AF7CE8"/>
    <w:rsid w:val="00B001E0"/>
    <w:rsid w:val="00B00251"/>
    <w:rsid w:val="00B01F7C"/>
    <w:rsid w:val="00B025F6"/>
    <w:rsid w:val="00B02DC2"/>
    <w:rsid w:val="00B030DC"/>
    <w:rsid w:val="00B056D1"/>
    <w:rsid w:val="00B069EF"/>
    <w:rsid w:val="00B0706A"/>
    <w:rsid w:val="00B07847"/>
    <w:rsid w:val="00B109C5"/>
    <w:rsid w:val="00B11402"/>
    <w:rsid w:val="00B116FD"/>
    <w:rsid w:val="00B11912"/>
    <w:rsid w:val="00B11A27"/>
    <w:rsid w:val="00B14599"/>
    <w:rsid w:val="00B14F08"/>
    <w:rsid w:val="00B1524F"/>
    <w:rsid w:val="00B15CC3"/>
    <w:rsid w:val="00B16417"/>
    <w:rsid w:val="00B1698A"/>
    <w:rsid w:val="00B20A5A"/>
    <w:rsid w:val="00B21839"/>
    <w:rsid w:val="00B23365"/>
    <w:rsid w:val="00B241F7"/>
    <w:rsid w:val="00B2435A"/>
    <w:rsid w:val="00B25553"/>
    <w:rsid w:val="00B27580"/>
    <w:rsid w:val="00B276A9"/>
    <w:rsid w:val="00B3107F"/>
    <w:rsid w:val="00B312DC"/>
    <w:rsid w:val="00B319D9"/>
    <w:rsid w:val="00B31E25"/>
    <w:rsid w:val="00B32610"/>
    <w:rsid w:val="00B3382F"/>
    <w:rsid w:val="00B33B34"/>
    <w:rsid w:val="00B33C17"/>
    <w:rsid w:val="00B34365"/>
    <w:rsid w:val="00B34A1F"/>
    <w:rsid w:val="00B360B8"/>
    <w:rsid w:val="00B367B9"/>
    <w:rsid w:val="00B3727E"/>
    <w:rsid w:val="00B40527"/>
    <w:rsid w:val="00B41A3E"/>
    <w:rsid w:val="00B42098"/>
    <w:rsid w:val="00B4274F"/>
    <w:rsid w:val="00B42C38"/>
    <w:rsid w:val="00B43698"/>
    <w:rsid w:val="00B436ED"/>
    <w:rsid w:val="00B44966"/>
    <w:rsid w:val="00B44B7E"/>
    <w:rsid w:val="00B453E6"/>
    <w:rsid w:val="00B4548C"/>
    <w:rsid w:val="00B46F3F"/>
    <w:rsid w:val="00B47178"/>
    <w:rsid w:val="00B47C99"/>
    <w:rsid w:val="00B51EDD"/>
    <w:rsid w:val="00B52145"/>
    <w:rsid w:val="00B52611"/>
    <w:rsid w:val="00B52918"/>
    <w:rsid w:val="00B5545C"/>
    <w:rsid w:val="00B55808"/>
    <w:rsid w:val="00B56BBF"/>
    <w:rsid w:val="00B6010A"/>
    <w:rsid w:val="00B603E7"/>
    <w:rsid w:val="00B60927"/>
    <w:rsid w:val="00B60A0A"/>
    <w:rsid w:val="00B61FC2"/>
    <w:rsid w:val="00B623CA"/>
    <w:rsid w:val="00B628D9"/>
    <w:rsid w:val="00B6291B"/>
    <w:rsid w:val="00B636D6"/>
    <w:rsid w:val="00B63B04"/>
    <w:rsid w:val="00B63D48"/>
    <w:rsid w:val="00B6404A"/>
    <w:rsid w:val="00B64283"/>
    <w:rsid w:val="00B646F9"/>
    <w:rsid w:val="00B65BBD"/>
    <w:rsid w:val="00B65F92"/>
    <w:rsid w:val="00B67FE6"/>
    <w:rsid w:val="00B70168"/>
    <w:rsid w:val="00B71494"/>
    <w:rsid w:val="00B71E8D"/>
    <w:rsid w:val="00B72027"/>
    <w:rsid w:val="00B726A1"/>
    <w:rsid w:val="00B72864"/>
    <w:rsid w:val="00B738CF"/>
    <w:rsid w:val="00B73904"/>
    <w:rsid w:val="00B74314"/>
    <w:rsid w:val="00B74748"/>
    <w:rsid w:val="00B74A88"/>
    <w:rsid w:val="00B75675"/>
    <w:rsid w:val="00B759BD"/>
    <w:rsid w:val="00B75EDC"/>
    <w:rsid w:val="00B7732C"/>
    <w:rsid w:val="00B81124"/>
    <w:rsid w:val="00B812D8"/>
    <w:rsid w:val="00B82A89"/>
    <w:rsid w:val="00B85028"/>
    <w:rsid w:val="00B878E9"/>
    <w:rsid w:val="00B87C5E"/>
    <w:rsid w:val="00B87CC0"/>
    <w:rsid w:val="00B87EE5"/>
    <w:rsid w:val="00B90BEA"/>
    <w:rsid w:val="00B90DCD"/>
    <w:rsid w:val="00B93248"/>
    <w:rsid w:val="00B93C6B"/>
    <w:rsid w:val="00B95DA3"/>
    <w:rsid w:val="00B95E09"/>
    <w:rsid w:val="00B9607D"/>
    <w:rsid w:val="00B96621"/>
    <w:rsid w:val="00B96726"/>
    <w:rsid w:val="00B96FA3"/>
    <w:rsid w:val="00B97073"/>
    <w:rsid w:val="00B97C0A"/>
    <w:rsid w:val="00BA044B"/>
    <w:rsid w:val="00BA1C0D"/>
    <w:rsid w:val="00BA2F0A"/>
    <w:rsid w:val="00BA2FB7"/>
    <w:rsid w:val="00BA33F5"/>
    <w:rsid w:val="00BA34DB"/>
    <w:rsid w:val="00BA3DC8"/>
    <w:rsid w:val="00BA4679"/>
    <w:rsid w:val="00BA4A26"/>
    <w:rsid w:val="00BA4C5C"/>
    <w:rsid w:val="00BA5C61"/>
    <w:rsid w:val="00BA614B"/>
    <w:rsid w:val="00BA70BD"/>
    <w:rsid w:val="00BB0F4B"/>
    <w:rsid w:val="00BB1DCE"/>
    <w:rsid w:val="00BB23FD"/>
    <w:rsid w:val="00BB3DEF"/>
    <w:rsid w:val="00BB5A5C"/>
    <w:rsid w:val="00BB5AF2"/>
    <w:rsid w:val="00BB5FF8"/>
    <w:rsid w:val="00BB6BE5"/>
    <w:rsid w:val="00BB74A6"/>
    <w:rsid w:val="00BC0088"/>
    <w:rsid w:val="00BC044F"/>
    <w:rsid w:val="00BC1A94"/>
    <w:rsid w:val="00BC1E63"/>
    <w:rsid w:val="00BC27FD"/>
    <w:rsid w:val="00BC29E1"/>
    <w:rsid w:val="00BC2D7D"/>
    <w:rsid w:val="00BC34C3"/>
    <w:rsid w:val="00BC6AFA"/>
    <w:rsid w:val="00BC7458"/>
    <w:rsid w:val="00BC7461"/>
    <w:rsid w:val="00BD0A1F"/>
    <w:rsid w:val="00BD0C2F"/>
    <w:rsid w:val="00BD1A55"/>
    <w:rsid w:val="00BD1CB2"/>
    <w:rsid w:val="00BD1F32"/>
    <w:rsid w:val="00BD2A37"/>
    <w:rsid w:val="00BD51E0"/>
    <w:rsid w:val="00BD60AA"/>
    <w:rsid w:val="00BD61F7"/>
    <w:rsid w:val="00BD6BBD"/>
    <w:rsid w:val="00BE044E"/>
    <w:rsid w:val="00BE20B8"/>
    <w:rsid w:val="00BE22F7"/>
    <w:rsid w:val="00BE33FE"/>
    <w:rsid w:val="00BE3817"/>
    <w:rsid w:val="00BE417D"/>
    <w:rsid w:val="00BE466C"/>
    <w:rsid w:val="00BE4B15"/>
    <w:rsid w:val="00BE519D"/>
    <w:rsid w:val="00BE5B64"/>
    <w:rsid w:val="00BE6769"/>
    <w:rsid w:val="00BE68B5"/>
    <w:rsid w:val="00BF036B"/>
    <w:rsid w:val="00BF22D0"/>
    <w:rsid w:val="00BF2C1F"/>
    <w:rsid w:val="00BF3773"/>
    <w:rsid w:val="00BF4A2C"/>
    <w:rsid w:val="00BF51EF"/>
    <w:rsid w:val="00BF54EA"/>
    <w:rsid w:val="00BF560E"/>
    <w:rsid w:val="00BF563A"/>
    <w:rsid w:val="00BF5BDE"/>
    <w:rsid w:val="00BF7055"/>
    <w:rsid w:val="00BF7385"/>
    <w:rsid w:val="00C01311"/>
    <w:rsid w:val="00C035B5"/>
    <w:rsid w:val="00C036A4"/>
    <w:rsid w:val="00C04015"/>
    <w:rsid w:val="00C04D45"/>
    <w:rsid w:val="00C05480"/>
    <w:rsid w:val="00C057A9"/>
    <w:rsid w:val="00C05DBC"/>
    <w:rsid w:val="00C06035"/>
    <w:rsid w:val="00C06407"/>
    <w:rsid w:val="00C067D5"/>
    <w:rsid w:val="00C06B3E"/>
    <w:rsid w:val="00C073DA"/>
    <w:rsid w:val="00C10011"/>
    <w:rsid w:val="00C102D0"/>
    <w:rsid w:val="00C113ED"/>
    <w:rsid w:val="00C11BEC"/>
    <w:rsid w:val="00C123C8"/>
    <w:rsid w:val="00C12587"/>
    <w:rsid w:val="00C148D1"/>
    <w:rsid w:val="00C15217"/>
    <w:rsid w:val="00C15BF7"/>
    <w:rsid w:val="00C15C57"/>
    <w:rsid w:val="00C16045"/>
    <w:rsid w:val="00C167B4"/>
    <w:rsid w:val="00C16D43"/>
    <w:rsid w:val="00C16DC5"/>
    <w:rsid w:val="00C16E94"/>
    <w:rsid w:val="00C17BE9"/>
    <w:rsid w:val="00C2025E"/>
    <w:rsid w:val="00C20A7B"/>
    <w:rsid w:val="00C20FDA"/>
    <w:rsid w:val="00C211F7"/>
    <w:rsid w:val="00C21AC7"/>
    <w:rsid w:val="00C2233A"/>
    <w:rsid w:val="00C22488"/>
    <w:rsid w:val="00C22CB6"/>
    <w:rsid w:val="00C22EBC"/>
    <w:rsid w:val="00C23821"/>
    <w:rsid w:val="00C23F6A"/>
    <w:rsid w:val="00C24420"/>
    <w:rsid w:val="00C24D18"/>
    <w:rsid w:val="00C261A3"/>
    <w:rsid w:val="00C2621C"/>
    <w:rsid w:val="00C26967"/>
    <w:rsid w:val="00C26A59"/>
    <w:rsid w:val="00C26EEC"/>
    <w:rsid w:val="00C274A1"/>
    <w:rsid w:val="00C27CC2"/>
    <w:rsid w:val="00C30273"/>
    <w:rsid w:val="00C30739"/>
    <w:rsid w:val="00C30B55"/>
    <w:rsid w:val="00C31AEF"/>
    <w:rsid w:val="00C32DD9"/>
    <w:rsid w:val="00C349A1"/>
    <w:rsid w:val="00C34F39"/>
    <w:rsid w:val="00C36123"/>
    <w:rsid w:val="00C3656B"/>
    <w:rsid w:val="00C41024"/>
    <w:rsid w:val="00C41741"/>
    <w:rsid w:val="00C42DA2"/>
    <w:rsid w:val="00C45220"/>
    <w:rsid w:val="00C45773"/>
    <w:rsid w:val="00C46128"/>
    <w:rsid w:val="00C47C15"/>
    <w:rsid w:val="00C47CB8"/>
    <w:rsid w:val="00C508A6"/>
    <w:rsid w:val="00C50CEA"/>
    <w:rsid w:val="00C518A4"/>
    <w:rsid w:val="00C52738"/>
    <w:rsid w:val="00C55207"/>
    <w:rsid w:val="00C55B62"/>
    <w:rsid w:val="00C56093"/>
    <w:rsid w:val="00C577EB"/>
    <w:rsid w:val="00C57BB9"/>
    <w:rsid w:val="00C605E7"/>
    <w:rsid w:val="00C615A0"/>
    <w:rsid w:val="00C6196A"/>
    <w:rsid w:val="00C621C9"/>
    <w:rsid w:val="00C640FC"/>
    <w:rsid w:val="00C64167"/>
    <w:rsid w:val="00C65646"/>
    <w:rsid w:val="00C65B71"/>
    <w:rsid w:val="00C6694E"/>
    <w:rsid w:val="00C66E71"/>
    <w:rsid w:val="00C70223"/>
    <w:rsid w:val="00C717D4"/>
    <w:rsid w:val="00C71992"/>
    <w:rsid w:val="00C721AD"/>
    <w:rsid w:val="00C72F98"/>
    <w:rsid w:val="00C7372D"/>
    <w:rsid w:val="00C75AE4"/>
    <w:rsid w:val="00C76B88"/>
    <w:rsid w:val="00C7765A"/>
    <w:rsid w:val="00C801C8"/>
    <w:rsid w:val="00C80DFB"/>
    <w:rsid w:val="00C815F9"/>
    <w:rsid w:val="00C82C89"/>
    <w:rsid w:val="00C82FC5"/>
    <w:rsid w:val="00C83E6A"/>
    <w:rsid w:val="00C840A6"/>
    <w:rsid w:val="00C84EFB"/>
    <w:rsid w:val="00C85F67"/>
    <w:rsid w:val="00C86454"/>
    <w:rsid w:val="00C903EA"/>
    <w:rsid w:val="00C91A65"/>
    <w:rsid w:val="00C9411C"/>
    <w:rsid w:val="00C943DF"/>
    <w:rsid w:val="00C945E7"/>
    <w:rsid w:val="00C95504"/>
    <w:rsid w:val="00C955A0"/>
    <w:rsid w:val="00C95CD8"/>
    <w:rsid w:val="00C95E05"/>
    <w:rsid w:val="00C97256"/>
    <w:rsid w:val="00C97B2B"/>
    <w:rsid w:val="00CA109F"/>
    <w:rsid w:val="00CA1711"/>
    <w:rsid w:val="00CA1F5C"/>
    <w:rsid w:val="00CA245E"/>
    <w:rsid w:val="00CA2880"/>
    <w:rsid w:val="00CA2D95"/>
    <w:rsid w:val="00CA3524"/>
    <w:rsid w:val="00CA518B"/>
    <w:rsid w:val="00CA54D2"/>
    <w:rsid w:val="00CA5A87"/>
    <w:rsid w:val="00CA5FDA"/>
    <w:rsid w:val="00CA64C3"/>
    <w:rsid w:val="00CA64EB"/>
    <w:rsid w:val="00CA7A36"/>
    <w:rsid w:val="00CA7C0B"/>
    <w:rsid w:val="00CB05C8"/>
    <w:rsid w:val="00CB0F4B"/>
    <w:rsid w:val="00CB15C7"/>
    <w:rsid w:val="00CB55F3"/>
    <w:rsid w:val="00CB725A"/>
    <w:rsid w:val="00CB77E9"/>
    <w:rsid w:val="00CC036E"/>
    <w:rsid w:val="00CC0B3C"/>
    <w:rsid w:val="00CC0BB1"/>
    <w:rsid w:val="00CC0BC1"/>
    <w:rsid w:val="00CC1BCF"/>
    <w:rsid w:val="00CC2C23"/>
    <w:rsid w:val="00CC4B20"/>
    <w:rsid w:val="00CC53DE"/>
    <w:rsid w:val="00CC5492"/>
    <w:rsid w:val="00CC5A8A"/>
    <w:rsid w:val="00CC5C0E"/>
    <w:rsid w:val="00CC71B8"/>
    <w:rsid w:val="00CC771B"/>
    <w:rsid w:val="00CC7E71"/>
    <w:rsid w:val="00CD010E"/>
    <w:rsid w:val="00CD0ABA"/>
    <w:rsid w:val="00CD100D"/>
    <w:rsid w:val="00CD1E46"/>
    <w:rsid w:val="00CD2BEB"/>
    <w:rsid w:val="00CD35EC"/>
    <w:rsid w:val="00CD3948"/>
    <w:rsid w:val="00CD3CEB"/>
    <w:rsid w:val="00CD41D5"/>
    <w:rsid w:val="00CD462A"/>
    <w:rsid w:val="00CD591D"/>
    <w:rsid w:val="00CD69FD"/>
    <w:rsid w:val="00CD6A68"/>
    <w:rsid w:val="00CD6AC1"/>
    <w:rsid w:val="00CD70FC"/>
    <w:rsid w:val="00CD78A2"/>
    <w:rsid w:val="00CE0A8C"/>
    <w:rsid w:val="00CE1528"/>
    <w:rsid w:val="00CE1C90"/>
    <w:rsid w:val="00CE1CEA"/>
    <w:rsid w:val="00CE330F"/>
    <w:rsid w:val="00CE3D91"/>
    <w:rsid w:val="00CE3DA2"/>
    <w:rsid w:val="00CE42CA"/>
    <w:rsid w:val="00CE53C5"/>
    <w:rsid w:val="00CE69A7"/>
    <w:rsid w:val="00CE7E3A"/>
    <w:rsid w:val="00CF1288"/>
    <w:rsid w:val="00CF190D"/>
    <w:rsid w:val="00CF2639"/>
    <w:rsid w:val="00CF442D"/>
    <w:rsid w:val="00CF5AE5"/>
    <w:rsid w:val="00CF6112"/>
    <w:rsid w:val="00CF78FB"/>
    <w:rsid w:val="00CF7F65"/>
    <w:rsid w:val="00D00EC3"/>
    <w:rsid w:val="00D01340"/>
    <w:rsid w:val="00D02779"/>
    <w:rsid w:val="00D03F8B"/>
    <w:rsid w:val="00D05750"/>
    <w:rsid w:val="00D061FA"/>
    <w:rsid w:val="00D0660D"/>
    <w:rsid w:val="00D06ABC"/>
    <w:rsid w:val="00D07015"/>
    <w:rsid w:val="00D07996"/>
    <w:rsid w:val="00D10239"/>
    <w:rsid w:val="00D102B5"/>
    <w:rsid w:val="00D103B2"/>
    <w:rsid w:val="00D10EDF"/>
    <w:rsid w:val="00D10FAA"/>
    <w:rsid w:val="00D1219C"/>
    <w:rsid w:val="00D12C59"/>
    <w:rsid w:val="00D15F00"/>
    <w:rsid w:val="00D1703A"/>
    <w:rsid w:val="00D22663"/>
    <w:rsid w:val="00D229F2"/>
    <w:rsid w:val="00D22DFB"/>
    <w:rsid w:val="00D23647"/>
    <w:rsid w:val="00D24F74"/>
    <w:rsid w:val="00D256F6"/>
    <w:rsid w:val="00D26092"/>
    <w:rsid w:val="00D275DC"/>
    <w:rsid w:val="00D2762C"/>
    <w:rsid w:val="00D3215B"/>
    <w:rsid w:val="00D321D7"/>
    <w:rsid w:val="00D360D1"/>
    <w:rsid w:val="00D36F29"/>
    <w:rsid w:val="00D4046C"/>
    <w:rsid w:val="00D4117B"/>
    <w:rsid w:val="00D41680"/>
    <w:rsid w:val="00D41825"/>
    <w:rsid w:val="00D41A2F"/>
    <w:rsid w:val="00D4341B"/>
    <w:rsid w:val="00D43C8F"/>
    <w:rsid w:val="00D4454F"/>
    <w:rsid w:val="00D44A8B"/>
    <w:rsid w:val="00D45B6A"/>
    <w:rsid w:val="00D45FFB"/>
    <w:rsid w:val="00D463D7"/>
    <w:rsid w:val="00D471B2"/>
    <w:rsid w:val="00D5080F"/>
    <w:rsid w:val="00D508AA"/>
    <w:rsid w:val="00D514FE"/>
    <w:rsid w:val="00D52FC7"/>
    <w:rsid w:val="00D53ABE"/>
    <w:rsid w:val="00D53FA2"/>
    <w:rsid w:val="00D5464C"/>
    <w:rsid w:val="00D54D1E"/>
    <w:rsid w:val="00D54EC5"/>
    <w:rsid w:val="00D555B7"/>
    <w:rsid w:val="00D559D9"/>
    <w:rsid w:val="00D55BC2"/>
    <w:rsid w:val="00D5779B"/>
    <w:rsid w:val="00D57A5D"/>
    <w:rsid w:val="00D609E5"/>
    <w:rsid w:val="00D60A9C"/>
    <w:rsid w:val="00D61E75"/>
    <w:rsid w:val="00D650CC"/>
    <w:rsid w:val="00D65379"/>
    <w:rsid w:val="00D653FC"/>
    <w:rsid w:val="00D65592"/>
    <w:rsid w:val="00D664DC"/>
    <w:rsid w:val="00D6657D"/>
    <w:rsid w:val="00D675D7"/>
    <w:rsid w:val="00D67960"/>
    <w:rsid w:val="00D67DC8"/>
    <w:rsid w:val="00D711B9"/>
    <w:rsid w:val="00D71DA0"/>
    <w:rsid w:val="00D72E55"/>
    <w:rsid w:val="00D74568"/>
    <w:rsid w:val="00D7514B"/>
    <w:rsid w:val="00D77AE7"/>
    <w:rsid w:val="00D80E12"/>
    <w:rsid w:val="00D813AA"/>
    <w:rsid w:val="00D81ABE"/>
    <w:rsid w:val="00D831D1"/>
    <w:rsid w:val="00D83C72"/>
    <w:rsid w:val="00D844AA"/>
    <w:rsid w:val="00D84AAC"/>
    <w:rsid w:val="00D85010"/>
    <w:rsid w:val="00D86212"/>
    <w:rsid w:val="00D86A9F"/>
    <w:rsid w:val="00D86D87"/>
    <w:rsid w:val="00D90C24"/>
    <w:rsid w:val="00D90F01"/>
    <w:rsid w:val="00D91436"/>
    <w:rsid w:val="00D91DC8"/>
    <w:rsid w:val="00D92E61"/>
    <w:rsid w:val="00D93874"/>
    <w:rsid w:val="00D93929"/>
    <w:rsid w:val="00D9497B"/>
    <w:rsid w:val="00D952AA"/>
    <w:rsid w:val="00D95FE7"/>
    <w:rsid w:val="00D97A75"/>
    <w:rsid w:val="00DA216C"/>
    <w:rsid w:val="00DA3C32"/>
    <w:rsid w:val="00DA4367"/>
    <w:rsid w:val="00DA51AC"/>
    <w:rsid w:val="00DA5B29"/>
    <w:rsid w:val="00DA6C82"/>
    <w:rsid w:val="00DA6D0C"/>
    <w:rsid w:val="00DA6DC2"/>
    <w:rsid w:val="00DA7D93"/>
    <w:rsid w:val="00DB078B"/>
    <w:rsid w:val="00DB13D9"/>
    <w:rsid w:val="00DB1A20"/>
    <w:rsid w:val="00DB21DD"/>
    <w:rsid w:val="00DB3B28"/>
    <w:rsid w:val="00DB3F00"/>
    <w:rsid w:val="00DB41E6"/>
    <w:rsid w:val="00DB42FD"/>
    <w:rsid w:val="00DB4AA2"/>
    <w:rsid w:val="00DB5BDD"/>
    <w:rsid w:val="00DB6E17"/>
    <w:rsid w:val="00DB6E96"/>
    <w:rsid w:val="00DB731B"/>
    <w:rsid w:val="00DB76A2"/>
    <w:rsid w:val="00DB7AE1"/>
    <w:rsid w:val="00DC032E"/>
    <w:rsid w:val="00DC034D"/>
    <w:rsid w:val="00DC1545"/>
    <w:rsid w:val="00DC1BCA"/>
    <w:rsid w:val="00DC2922"/>
    <w:rsid w:val="00DC2C97"/>
    <w:rsid w:val="00DC2CC7"/>
    <w:rsid w:val="00DC3C21"/>
    <w:rsid w:val="00DC50C6"/>
    <w:rsid w:val="00DC5368"/>
    <w:rsid w:val="00DC5600"/>
    <w:rsid w:val="00DC5D0F"/>
    <w:rsid w:val="00DC671D"/>
    <w:rsid w:val="00DC6F9C"/>
    <w:rsid w:val="00DD0A6B"/>
    <w:rsid w:val="00DD1D13"/>
    <w:rsid w:val="00DD2F3F"/>
    <w:rsid w:val="00DD31A6"/>
    <w:rsid w:val="00DD3F65"/>
    <w:rsid w:val="00DD5D1F"/>
    <w:rsid w:val="00DD5EA8"/>
    <w:rsid w:val="00DE01EE"/>
    <w:rsid w:val="00DE0624"/>
    <w:rsid w:val="00DE1D57"/>
    <w:rsid w:val="00DE258E"/>
    <w:rsid w:val="00DE375A"/>
    <w:rsid w:val="00DE3F33"/>
    <w:rsid w:val="00DE4479"/>
    <w:rsid w:val="00DE7C69"/>
    <w:rsid w:val="00DE7F36"/>
    <w:rsid w:val="00DF01A7"/>
    <w:rsid w:val="00DF17A4"/>
    <w:rsid w:val="00DF22F2"/>
    <w:rsid w:val="00DF2449"/>
    <w:rsid w:val="00DF26F0"/>
    <w:rsid w:val="00DF31C8"/>
    <w:rsid w:val="00DF3DFC"/>
    <w:rsid w:val="00DF588C"/>
    <w:rsid w:val="00DF58DC"/>
    <w:rsid w:val="00DF5C7A"/>
    <w:rsid w:val="00DF6308"/>
    <w:rsid w:val="00DF74A3"/>
    <w:rsid w:val="00DF7589"/>
    <w:rsid w:val="00DF77A9"/>
    <w:rsid w:val="00DF7918"/>
    <w:rsid w:val="00DF7AB2"/>
    <w:rsid w:val="00DF7BB8"/>
    <w:rsid w:val="00E00D66"/>
    <w:rsid w:val="00E01371"/>
    <w:rsid w:val="00E01846"/>
    <w:rsid w:val="00E02353"/>
    <w:rsid w:val="00E02741"/>
    <w:rsid w:val="00E02AC9"/>
    <w:rsid w:val="00E02F34"/>
    <w:rsid w:val="00E03944"/>
    <w:rsid w:val="00E03B4C"/>
    <w:rsid w:val="00E045D6"/>
    <w:rsid w:val="00E05875"/>
    <w:rsid w:val="00E06A1F"/>
    <w:rsid w:val="00E06F03"/>
    <w:rsid w:val="00E07324"/>
    <w:rsid w:val="00E10A48"/>
    <w:rsid w:val="00E11B2F"/>
    <w:rsid w:val="00E11BB1"/>
    <w:rsid w:val="00E11F55"/>
    <w:rsid w:val="00E12647"/>
    <w:rsid w:val="00E127B4"/>
    <w:rsid w:val="00E1363A"/>
    <w:rsid w:val="00E137D1"/>
    <w:rsid w:val="00E14423"/>
    <w:rsid w:val="00E15DB0"/>
    <w:rsid w:val="00E213B2"/>
    <w:rsid w:val="00E21CAA"/>
    <w:rsid w:val="00E22190"/>
    <w:rsid w:val="00E22A4B"/>
    <w:rsid w:val="00E24665"/>
    <w:rsid w:val="00E24FA4"/>
    <w:rsid w:val="00E26D5C"/>
    <w:rsid w:val="00E27025"/>
    <w:rsid w:val="00E30606"/>
    <w:rsid w:val="00E3159C"/>
    <w:rsid w:val="00E316DE"/>
    <w:rsid w:val="00E3197F"/>
    <w:rsid w:val="00E3235F"/>
    <w:rsid w:val="00E3287C"/>
    <w:rsid w:val="00E338B1"/>
    <w:rsid w:val="00E338CD"/>
    <w:rsid w:val="00E34DDA"/>
    <w:rsid w:val="00E34F82"/>
    <w:rsid w:val="00E36538"/>
    <w:rsid w:val="00E3662D"/>
    <w:rsid w:val="00E40573"/>
    <w:rsid w:val="00E40B49"/>
    <w:rsid w:val="00E40F81"/>
    <w:rsid w:val="00E41130"/>
    <w:rsid w:val="00E417C1"/>
    <w:rsid w:val="00E41EAC"/>
    <w:rsid w:val="00E43777"/>
    <w:rsid w:val="00E455D0"/>
    <w:rsid w:val="00E45FD1"/>
    <w:rsid w:val="00E461CD"/>
    <w:rsid w:val="00E50A55"/>
    <w:rsid w:val="00E50E0D"/>
    <w:rsid w:val="00E50EC0"/>
    <w:rsid w:val="00E5186C"/>
    <w:rsid w:val="00E51B0A"/>
    <w:rsid w:val="00E52197"/>
    <w:rsid w:val="00E528EA"/>
    <w:rsid w:val="00E53708"/>
    <w:rsid w:val="00E55913"/>
    <w:rsid w:val="00E55B18"/>
    <w:rsid w:val="00E5682C"/>
    <w:rsid w:val="00E57CF7"/>
    <w:rsid w:val="00E60514"/>
    <w:rsid w:val="00E61B50"/>
    <w:rsid w:val="00E61E5D"/>
    <w:rsid w:val="00E62ED3"/>
    <w:rsid w:val="00E64AC9"/>
    <w:rsid w:val="00E65EFB"/>
    <w:rsid w:val="00E6610C"/>
    <w:rsid w:val="00E66270"/>
    <w:rsid w:val="00E705F7"/>
    <w:rsid w:val="00E70A28"/>
    <w:rsid w:val="00E70C84"/>
    <w:rsid w:val="00E70D96"/>
    <w:rsid w:val="00E70FAA"/>
    <w:rsid w:val="00E71BEB"/>
    <w:rsid w:val="00E71C0C"/>
    <w:rsid w:val="00E7204B"/>
    <w:rsid w:val="00E7314F"/>
    <w:rsid w:val="00E75D56"/>
    <w:rsid w:val="00E75F1A"/>
    <w:rsid w:val="00E761C6"/>
    <w:rsid w:val="00E76987"/>
    <w:rsid w:val="00E7728F"/>
    <w:rsid w:val="00E81495"/>
    <w:rsid w:val="00E815BC"/>
    <w:rsid w:val="00E8199C"/>
    <w:rsid w:val="00E82802"/>
    <w:rsid w:val="00E82AB8"/>
    <w:rsid w:val="00E82C42"/>
    <w:rsid w:val="00E83048"/>
    <w:rsid w:val="00E831A7"/>
    <w:rsid w:val="00E84FBE"/>
    <w:rsid w:val="00E85CD9"/>
    <w:rsid w:val="00E875B1"/>
    <w:rsid w:val="00E906FB"/>
    <w:rsid w:val="00E9193F"/>
    <w:rsid w:val="00E91ACD"/>
    <w:rsid w:val="00E93062"/>
    <w:rsid w:val="00E93392"/>
    <w:rsid w:val="00E9554C"/>
    <w:rsid w:val="00E956FE"/>
    <w:rsid w:val="00E95F03"/>
    <w:rsid w:val="00E960A3"/>
    <w:rsid w:val="00E961F0"/>
    <w:rsid w:val="00E96FDF"/>
    <w:rsid w:val="00EA0003"/>
    <w:rsid w:val="00EA0822"/>
    <w:rsid w:val="00EA1D7E"/>
    <w:rsid w:val="00EA2F6D"/>
    <w:rsid w:val="00EA4702"/>
    <w:rsid w:val="00EA4C48"/>
    <w:rsid w:val="00EA4CC9"/>
    <w:rsid w:val="00EA4D2E"/>
    <w:rsid w:val="00EA5B83"/>
    <w:rsid w:val="00EA70F6"/>
    <w:rsid w:val="00EA7FB6"/>
    <w:rsid w:val="00EB022B"/>
    <w:rsid w:val="00EB32B0"/>
    <w:rsid w:val="00EB48D1"/>
    <w:rsid w:val="00EB4A9D"/>
    <w:rsid w:val="00EB4BE9"/>
    <w:rsid w:val="00EC119F"/>
    <w:rsid w:val="00EC2C9A"/>
    <w:rsid w:val="00EC3679"/>
    <w:rsid w:val="00EC3872"/>
    <w:rsid w:val="00EC472C"/>
    <w:rsid w:val="00EC4B3E"/>
    <w:rsid w:val="00EC507E"/>
    <w:rsid w:val="00EC5D96"/>
    <w:rsid w:val="00EC6200"/>
    <w:rsid w:val="00EC78D3"/>
    <w:rsid w:val="00EC78EE"/>
    <w:rsid w:val="00ED08C3"/>
    <w:rsid w:val="00ED1472"/>
    <w:rsid w:val="00ED1BD7"/>
    <w:rsid w:val="00ED2D08"/>
    <w:rsid w:val="00ED4056"/>
    <w:rsid w:val="00ED5219"/>
    <w:rsid w:val="00ED7FE5"/>
    <w:rsid w:val="00EE12B3"/>
    <w:rsid w:val="00EE2304"/>
    <w:rsid w:val="00EE2A64"/>
    <w:rsid w:val="00EE3BCC"/>
    <w:rsid w:val="00EE5349"/>
    <w:rsid w:val="00EE55ED"/>
    <w:rsid w:val="00EE588A"/>
    <w:rsid w:val="00EE5A9B"/>
    <w:rsid w:val="00EE5FF1"/>
    <w:rsid w:val="00EE79D4"/>
    <w:rsid w:val="00EE7C04"/>
    <w:rsid w:val="00EF0627"/>
    <w:rsid w:val="00EF1832"/>
    <w:rsid w:val="00EF2C8C"/>
    <w:rsid w:val="00EF31AA"/>
    <w:rsid w:val="00EF5DB9"/>
    <w:rsid w:val="00EF79BD"/>
    <w:rsid w:val="00EF7B40"/>
    <w:rsid w:val="00F004BA"/>
    <w:rsid w:val="00F01295"/>
    <w:rsid w:val="00F01608"/>
    <w:rsid w:val="00F01F0E"/>
    <w:rsid w:val="00F02E56"/>
    <w:rsid w:val="00F0305D"/>
    <w:rsid w:val="00F04753"/>
    <w:rsid w:val="00F04F37"/>
    <w:rsid w:val="00F066B4"/>
    <w:rsid w:val="00F06CA2"/>
    <w:rsid w:val="00F0756B"/>
    <w:rsid w:val="00F07B9B"/>
    <w:rsid w:val="00F07BFA"/>
    <w:rsid w:val="00F102AD"/>
    <w:rsid w:val="00F1035E"/>
    <w:rsid w:val="00F10522"/>
    <w:rsid w:val="00F109BC"/>
    <w:rsid w:val="00F10EB1"/>
    <w:rsid w:val="00F124EE"/>
    <w:rsid w:val="00F12FD5"/>
    <w:rsid w:val="00F14501"/>
    <w:rsid w:val="00F14B0B"/>
    <w:rsid w:val="00F1580D"/>
    <w:rsid w:val="00F15AB8"/>
    <w:rsid w:val="00F15B5A"/>
    <w:rsid w:val="00F15C8B"/>
    <w:rsid w:val="00F17798"/>
    <w:rsid w:val="00F203BD"/>
    <w:rsid w:val="00F20A2B"/>
    <w:rsid w:val="00F21352"/>
    <w:rsid w:val="00F21C29"/>
    <w:rsid w:val="00F22542"/>
    <w:rsid w:val="00F2382C"/>
    <w:rsid w:val="00F25991"/>
    <w:rsid w:val="00F30469"/>
    <w:rsid w:val="00F3070D"/>
    <w:rsid w:val="00F309E9"/>
    <w:rsid w:val="00F31FC2"/>
    <w:rsid w:val="00F320E2"/>
    <w:rsid w:val="00F3216C"/>
    <w:rsid w:val="00F32D04"/>
    <w:rsid w:val="00F32E2B"/>
    <w:rsid w:val="00F331A9"/>
    <w:rsid w:val="00F3361F"/>
    <w:rsid w:val="00F33B83"/>
    <w:rsid w:val="00F34563"/>
    <w:rsid w:val="00F35433"/>
    <w:rsid w:val="00F355AE"/>
    <w:rsid w:val="00F36BAA"/>
    <w:rsid w:val="00F37A8A"/>
    <w:rsid w:val="00F402AF"/>
    <w:rsid w:val="00F40E88"/>
    <w:rsid w:val="00F414EA"/>
    <w:rsid w:val="00F41774"/>
    <w:rsid w:val="00F41F7C"/>
    <w:rsid w:val="00F434DA"/>
    <w:rsid w:val="00F43862"/>
    <w:rsid w:val="00F43CB6"/>
    <w:rsid w:val="00F44318"/>
    <w:rsid w:val="00F44D2A"/>
    <w:rsid w:val="00F44D34"/>
    <w:rsid w:val="00F4523C"/>
    <w:rsid w:val="00F45DDA"/>
    <w:rsid w:val="00F45F5E"/>
    <w:rsid w:val="00F477D3"/>
    <w:rsid w:val="00F50C9B"/>
    <w:rsid w:val="00F5140E"/>
    <w:rsid w:val="00F5174A"/>
    <w:rsid w:val="00F522F8"/>
    <w:rsid w:val="00F524A6"/>
    <w:rsid w:val="00F52677"/>
    <w:rsid w:val="00F543B5"/>
    <w:rsid w:val="00F545DC"/>
    <w:rsid w:val="00F55792"/>
    <w:rsid w:val="00F55799"/>
    <w:rsid w:val="00F559C1"/>
    <w:rsid w:val="00F55FEA"/>
    <w:rsid w:val="00F56818"/>
    <w:rsid w:val="00F56B43"/>
    <w:rsid w:val="00F5791F"/>
    <w:rsid w:val="00F600EF"/>
    <w:rsid w:val="00F60947"/>
    <w:rsid w:val="00F60C40"/>
    <w:rsid w:val="00F60D41"/>
    <w:rsid w:val="00F60E3A"/>
    <w:rsid w:val="00F615A3"/>
    <w:rsid w:val="00F61A11"/>
    <w:rsid w:val="00F61D2C"/>
    <w:rsid w:val="00F624E2"/>
    <w:rsid w:val="00F62942"/>
    <w:rsid w:val="00F62D8B"/>
    <w:rsid w:val="00F63240"/>
    <w:rsid w:val="00F63F54"/>
    <w:rsid w:val="00F642F6"/>
    <w:rsid w:val="00F655F2"/>
    <w:rsid w:val="00F65F1E"/>
    <w:rsid w:val="00F65F65"/>
    <w:rsid w:val="00F65FD2"/>
    <w:rsid w:val="00F66572"/>
    <w:rsid w:val="00F66626"/>
    <w:rsid w:val="00F66910"/>
    <w:rsid w:val="00F66AF6"/>
    <w:rsid w:val="00F677A5"/>
    <w:rsid w:val="00F6790B"/>
    <w:rsid w:val="00F67D94"/>
    <w:rsid w:val="00F71344"/>
    <w:rsid w:val="00F72008"/>
    <w:rsid w:val="00F74643"/>
    <w:rsid w:val="00F76152"/>
    <w:rsid w:val="00F76B7E"/>
    <w:rsid w:val="00F77C55"/>
    <w:rsid w:val="00F77F8D"/>
    <w:rsid w:val="00F81DEF"/>
    <w:rsid w:val="00F83E85"/>
    <w:rsid w:val="00F84357"/>
    <w:rsid w:val="00F84798"/>
    <w:rsid w:val="00F84ADC"/>
    <w:rsid w:val="00F858D4"/>
    <w:rsid w:val="00F86898"/>
    <w:rsid w:val="00F86F43"/>
    <w:rsid w:val="00F87252"/>
    <w:rsid w:val="00F878C2"/>
    <w:rsid w:val="00F878FC"/>
    <w:rsid w:val="00F90083"/>
    <w:rsid w:val="00F91016"/>
    <w:rsid w:val="00F91D0B"/>
    <w:rsid w:val="00F9585F"/>
    <w:rsid w:val="00F96072"/>
    <w:rsid w:val="00F97296"/>
    <w:rsid w:val="00F97825"/>
    <w:rsid w:val="00FA0275"/>
    <w:rsid w:val="00FA06FD"/>
    <w:rsid w:val="00FA1EBC"/>
    <w:rsid w:val="00FA2194"/>
    <w:rsid w:val="00FA21E4"/>
    <w:rsid w:val="00FA2FDD"/>
    <w:rsid w:val="00FA32C3"/>
    <w:rsid w:val="00FA34EE"/>
    <w:rsid w:val="00FA38C2"/>
    <w:rsid w:val="00FA39AE"/>
    <w:rsid w:val="00FA45FF"/>
    <w:rsid w:val="00FA4BF9"/>
    <w:rsid w:val="00FA6690"/>
    <w:rsid w:val="00FA72FD"/>
    <w:rsid w:val="00FA73E3"/>
    <w:rsid w:val="00FA7A28"/>
    <w:rsid w:val="00FA7CDF"/>
    <w:rsid w:val="00FB05FE"/>
    <w:rsid w:val="00FB0E7C"/>
    <w:rsid w:val="00FB111C"/>
    <w:rsid w:val="00FB19BB"/>
    <w:rsid w:val="00FB2C4C"/>
    <w:rsid w:val="00FB362E"/>
    <w:rsid w:val="00FB408D"/>
    <w:rsid w:val="00FB4D0F"/>
    <w:rsid w:val="00FB4FED"/>
    <w:rsid w:val="00FB6671"/>
    <w:rsid w:val="00FB7D1F"/>
    <w:rsid w:val="00FC0E5A"/>
    <w:rsid w:val="00FC0F47"/>
    <w:rsid w:val="00FC132C"/>
    <w:rsid w:val="00FC169E"/>
    <w:rsid w:val="00FC2D75"/>
    <w:rsid w:val="00FC3687"/>
    <w:rsid w:val="00FC397C"/>
    <w:rsid w:val="00FC4161"/>
    <w:rsid w:val="00FC42A7"/>
    <w:rsid w:val="00FC4723"/>
    <w:rsid w:val="00FC58E1"/>
    <w:rsid w:val="00FC6D5A"/>
    <w:rsid w:val="00FC7823"/>
    <w:rsid w:val="00FC7CF0"/>
    <w:rsid w:val="00FD0B66"/>
    <w:rsid w:val="00FD0CB2"/>
    <w:rsid w:val="00FD183F"/>
    <w:rsid w:val="00FD2908"/>
    <w:rsid w:val="00FD48F6"/>
    <w:rsid w:val="00FD54B0"/>
    <w:rsid w:val="00FD5C59"/>
    <w:rsid w:val="00FD5CF8"/>
    <w:rsid w:val="00FD6138"/>
    <w:rsid w:val="00FD7D71"/>
    <w:rsid w:val="00FD7F9A"/>
    <w:rsid w:val="00FE0566"/>
    <w:rsid w:val="00FE2147"/>
    <w:rsid w:val="00FE333C"/>
    <w:rsid w:val="00FE5D49"/>
    <w:rsid w:val="00FE6D74"/>
    <w:rsid w:val="00FE7D0D"/>
    <w:rsid w:val="00FF38BA"/>
    <w:rsid w:val="00FF3BC2"/>
    <w:rsid w:val="00FF3F70"/>
    <w:rsid w:val="00FF4E8D"/>
    <w:rsid w:val="00FF5611"/>
    <w:rsid w:val="00FF5C33"/>
    <w:rsid w:val="00FF604D"/>
    <w:rsid w:val="00FF6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B3B1A"/>
  <w15:chartTrackingRefBased/>
  <w15:docId w15:val="{DC9B9C92-4ED6-44B5-8A19-EEFEBD200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link w:val="Ttulo1Car"/>
    <w:uiPriority w:val="9"/>
    <w:qFormat/>
    <w:rsid w:val="00C417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A25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7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semiHidden/>
    <w:rsid w:val="005A2561"/>
    <w:rPr>
      <w:rFonts w:asciiTheme="majorHAnsi" w:eastAsiaTheme="majorEastAsia" w:hAnsiTheme="majorHAnsi" w:cstheme="majorBidi"/>
      <w:color w:val="2E74B5" w:themeColor="accent1" w:themeShade="BF"/>
      <w:sz w:val="26"/>
      <w:szCs w:val="26"/>
      <w:lang w:val="es-MX"/>
    </w:rPr>
  </w:style>
  <w:style w:type="table" w:styleId="Tablaconcuadrcula">
    <w:name w:val="Table Grid"/>
    <w:basedOn w:val="Tablanormal"/>
    <w:uiPriority w:val="39"/>
    <w:rsid w:val="0067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2104"/>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0331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31FF"/>
    <w:rPr>
      <w:lang w:val="es-MX"/>
    </w:rPr>
  </w:style>
  <w:style w:type="paragraph" w:styleId="Piedepgina">
    <w:name w:val="footer"/>
    <w:basedOn w:val="Normal"/>
    <w:link w:val="PiedepginaCar"/>
    <w:uiPriority w:val="99"/>
    <w:unhideWhenUsed/>
    <w:rsid w:val="000331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31FF"/>
    <w:rPr>
      <w:lang w:val="es-MX"/>
    </w:rPr>
  </w:style>
  <w:style w:type="paragraph" w:styleId="NormalWeb">
    <w:name w:val="Normal (Web)"/>
    <w:basedOn w:val="Normal"/>
    <w:uiPriority w:val="99"/>
    <w:semiHidden/>
    <w:unhideWhenUsed/>
    <w:rsid w:val="00EC6200"/>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odeglobo">
    <w:name w:val="Balloon Text"/>
    <w:basedOn w:val="Normal"/>
    <w:link w:val="TextodegloboCar"/>
    <w:uiPriority w:val="99"/>
    <w:semiHidden/>
    <w:unhideWhenUsed/>
    <w:rsid w:val="003F4D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4D43"/>
    <w:rPr>
      <w:rFonts w:ascii="Segoe UI" w:hAnsi="Segoe UI" w:cs="Segoe UI"/>
      <w:sz w:val="18"/>
      <w:szCs w:val="18"/>
      <w:lang w:val="es-MX"/>
    </w:rPr>
  </w:style>
  <w:style w:type="paragraph" w:styleId="Prrafodelista">
    <w:name w:val="List Paragraph"/>
    <w:aliases w:val="TITUTOS"/>
    <w:basedOn w:val="Normal"/>
    <w:link w:val="PrrafodelistaCar"/>
    <w:uiPriority w:val="34"/>
    <w:qFormat/>
    <w:rsid w:val="00613B5E"/>
    <w:pPr>
      <w:ind w:left="720"/>
      <w:contextualSpacing/>
    </w:pPr>
  </w:style>
  <w:style w:type="character" w:customStyle="1" w:styleId="PrrafodelistaCar">
    <w:name w:val="Párrafo de lista Car"/>
    <w:aliases w:val="TITUTOS Car"/>
    <w:basedOn w:val="Fuentedeprrafopredeter"/>
    <w:link w:val="Prrafodelista"/>
    <w:uiPriority w:val="34"/>
    <w:rsid w:val="00BC1E63"/>
    <w:rPr>
      <w:lang w:val="es-MX"/>
    </w:rPr>
  </w:style>
  <w:style w:type="paragraph" w:styleId="TtuloTDC">
    <w:name w:val="TOC Heading"/>
    <w:basedOn w:val="Ttulo1"/>
    <w:next w:val="Normal"/>
    <w:uiPriority w:val="39"/>
    <w:unhideWhenUsed/>
    <w:qFormat/>
    <w:rsid w:val="00C41741"/>
    <w:pPr>
      <w:outlineLvl w:val="9"/>
    </w:pPr>
    <w:rPr>
      <w:lang w:val="en-US"/>
    </w:rPr>
  </w:style>
  <w:style w:type="paragraph" w:styleId="TDC1">
    <w:name w:val="toc 1"/>
    <w:basedOn w:val="Normal"/>
    <w:next w:val="Normal"/>
    <w:autoRedefine/>
    <w:uiPriority w:val="39"/>
    <w:unhideWhenUsed/>
    <w:qFormat/>
    <w:rsid w:val="006F3A2F"/>
    <w:pPr>
      <w:tabs>
        <w:tab w:val="left" w:pos="2833"/>
        <w:tab w:val="right" w:leader="dot" w:pos="10076"/>
      </w:tabs>
      <w:spacing w:after="100"/>
      <w:ind w:left="2694" w:hanging="2694"/>
    </w:pPr>
  </w:style>
  <w:style w:type="character" w:styleId="Hipervnculo">
    <w:name w:val="Hyperlink"/>
    <w:basedOn w:val="Fuentedeprrafopredeter"/>
    <w:uiPriority w:val="99"/>
    <w:unhideWhenUsed/>
    <w:rsid w:val="00252CA7"/>
    <w:rPr>
      <w:color w:val="0563C1" w:themeColor="hyperlink"/>
      <w:u w:val="single"/>
    </w:rPr>
  </w:style>
  <w:style w:type="paragraph" w:styleId="Textonotapie">
    <w:name w:val="footnote text"/>
    <w:basedOn w:val="Normal"/>
    <w:link w:val="TextonotapieCar"/>
    <w:uiPriority w:val="99"/>
    <w:semiHidden/>
    <w:unhideWhenUsed/>
    <w:rsid w:val="00B169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698A"/>
    <w:rPr>
      <w:sz w:val="20"/>
      <w:szCs w:val="20"/>
      <w:lang w:val="es-MX"/>
    </w:rPr>
  </w:style>
  <w:style w:type="character" w:styleId="Refdenotaalpie">
    <w:name w:val="footnote reference"/>
    <w:basedOn w:val="Fuentedeprrafopredeter"/>
    <w:uiPriority w:val="99"/>
    <w:semiHidden/>
    <w:unhideWhenUsed/>
    <w:rsid w:val="00B1698A"/>
    <w:rPr>
      <w:vertAlign w:val="superscript"/>
    </w:rPr>
  </w:style>
  <w:style w:type="character" w:styleId="Refdecomentario">
    <w:name w:val="annotation reference"/>
    <w:basedOn w:val="Fuentedeprrafopredeter"/>
    <w:uiPriority w:val="99"/>
    <w:semiHidden/>
    <w:unhideWhenUsed/>
    <w:rsid w:val="00DB76A2"/>
    <w:rPr>
      <w:sz w:val="16"/>
      <w:szCs w:val="16"/>
    </w:rPr>
  </w:style>
  <w:style w:type="paragraph" w:styleId="Textocomentario">
    <w:name w:val="annotation text"/>
    <w:basedOn w:val="Normal"/>
    <w:link w:val="TextocomentarioCar"/>
    <w:uiPriority w:val="99"/>
    <w:unhideWhenUsed/>
    <w:rsid w:val="00DB76A2"/>
    <w:pPr>
      <w:spacing w:line="240" w:lineRule="auto"/>
    </w:pPr>
    <w:rPr>
      <w:sz w:val="20"/>
      <w:szCs w:val="20"/>
    </w:rPr>
  </w:style>
  <w:style w:type="character" w:customStyle="1" w:styleId="TextocomentarioCar">
    <w:name w:val="Texto comentario Car"/>
    <w:basedOn w:val="Fuentedeprrafopredeter"/>
    <w:link w:val="Textocomentario"/>
    <w:uiPriority w:val="99"/>
    <w:rsid w:val="00DB76A2"/>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B76A2"/>
    <w:rPr>
      <w:b/>
      <w:bCs/>
    </w:rPr>
  </w:style>
  <w:style w:type="character" w:customStyle="1" w:styleId="AsuntodelcomentarioCar">
    <w:name w:val="Asunto del comentario Car"/>
    <w:basedOn w:val="TextocomentarioCar"/>
    <w:link w:val="Asuntodelcomentario"/>
    <w:uiPriority w:val="99"/>
    <w:semiHidden/>
    <w:rsid w:val="00DB76A2"/>
    <w:rPr>
      <w:b/>
      <w:bCs/>
      <w:sz w:val="20"/>
      <w:szCs w:val="20"/>
      <w:lang w:val="es-MX"/>
    </w:rPr>
  </w:style>
  <w:style w:type="paragraph" w:styleId="Revisin">
    <w:name w:val="Revision"/>
    <w:hidden/>
    <w:uiPriority w:val="99"/>
    <w:semiHidden/>
    <w:rsid w:val="00763DA0"/>
    <w:pPr>
      <w:spacing w:after="0" w:line="240" w:lineRule="auto"/>
    </w:pPr>
    <w:rPr>
      <w:lang w:val="es-MX"/>
    </w:rPr>
  </w:style>
  <w:style w:type="paragraph" w:styleId="TDC2">
    <w:name w:val="toc 2"/>
    <w:basedOn w:val="Normal"/>
    <w:next w:val="Normal"/>
    <w:autoRedefine/>
    <w:uiPriority w:val="39"/>
    <w:unhideWhenUsed/>
    <w:rsid w:val="005A2561"/>
    <w:pPr>
      <w:spacing w:after="100"/>
      <w:ind w:left="220"/>
    </w:pPr>
  </w:style>
  <w:style w:type="character" w:styleId="Mencinsinresolver">
    <w:name w:val="Unresolved Mention"/>
    <w:basedOn w:val="Fuentedeprrafopredeter"/>
    <w:uiPriority w:val="99"/>
    <w:semiHidden/>
    <w:unhideWhenUsed/>
    <w:rsid w:val="00204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6707">
      <w:bodyDiv w:val="1"/>
      <w:marLeft w:val="0"/>
      <w:marRight w:val="0"/>
      <w:marTop w:val="0"/>
      <w:marBottom w:val="0"/>
      <w:divBdr>
        <w:top w:val="none" w:sz="0" w:space="0" w:color="auto"/>
        <w:left w:val="none" w:sz="0" w:space="0" w:color="auto"/>
        <w:bottom w:val="none" w:sz="0" w:space="0" w:color="auto"/>
        <w:right w:val="none" w:sz="0" w:space="0" w:color="auto"/>
      </w:divBdr>
    </w:div>
    <w:div w:id="50815885">
      <w:bodyDiv w:val="1"/>
      <w:marLeft w:val="0"/>
      <w:marRight w:val="0"/>
      <w:marTop w:val="0"/>
      <w:marBottom w:val="0"/>
      <w:divBdr>
        <w:top w:val="none" w:sz="0" w:space="0" w:color="auto"/>
        <w:left w:val="none" w:sz="0" w:space="0" w:color="auto"/>
        <w:bottom w:val="none" w:sz="0" w:space="0" w:color="auto"/>
        <w:right w:val="none" w:sz="0" w:space="0" w:color="auto"/>
      </w:divBdr>
    </w:div>
    <w:div w:id="105589960">
      <w:bodyDiv w:val="1"/>
      <w:marLeft w:val="0"/>
      <w:marRight w:val="0"/>
      <w:marTop w:val="0"/>
      <w:marBottom w:val="0"/>
      <w:divBdr>
        <w:top w:val="none" w:sz="0" w:space="0" w:color="auto"/>
        <w:left w:val="none" w:sz="0" w:space="0" w:color="auto"/>
        <w:bottom w:val="none" w:sz="0" w:space="0" w:color="auto"/>
        <w:right w:val="none" w:sz="0" w:space="0" w:color="auto"/>
      </w:divBdr>
    </w:div>
    <w:div w:id="113252914">
      <w:bodyDiv w:val="1"/>
      <w:marLeft w:val="0"/>
      <w:marRight w:val="0"/>
      <w:marTop w:val="0"/>
      <w:marBottom w:val="0"/>
      <w:divBdr>
        <w:top w:val="none" w:sz="0" w:space="0" w:color="auto"/>
        <w:left w:val="none" w:sz="0" w:space="0" w:color="auto"/>
        <w:bottom w:val="none" w:sz="0" w:space="0" w:color="auto"/>
        <w:right w:val="none" w:sz="0" w:space="0" w:color="auto"/>
      </w:divBdr>
      <w:divsChild>
        <w:div w:id="1224095731">
          <w:marLeft w:val="446"/>
          <w:marRight w:val="0"/>
          <w:marTop w:val="0"/>
          <w:marBottom w:val="0"/>
          <w:divBdr>
            <w:top w:val="none" w:sz="0" w:space="0" w:color="auto"/>
            <w:left w:val="none" w:sz="0" w:space="0" w:color="auto"/>
            <w:bottom w:val="none" w:sz="0" w:space="0" w:color="auto"/>
            <w:right w:val="none" w:sz="0" w:space="0" w:color="auto"/>
          </w:divBdr>
        </w:div>
        <w:div w:id="2042044973">
          <w:marLeft w:val="446"/>
          <w:marRight w:val="0"/>
          <w:marTop w:val="0"/>
          <w:marBottom w:val="0"/>
          <w:divBdr>
            <w:top w:val="none" w:sz="0" w:space="0" w:color="auto"/>
            <w:left w:val="none" w:sz="0" w:space="0" w:color="auto"/>
            <w:bottom w:val="none" w:sz="0" w:space="0" w:color="auto"/>
            <w:right w:val="none" w:sz="0" w:space="0" w:color="auto"/>
          </w:divBdr>
        </w:div>
        <w:div w:id="796684188">
          <w:marLeft w:val="446"/>
          <w:marRight w:val="0"/>
          <w:marTop w:val="0"/>
          <w:marBottom w:val="0"/>
          <w:divBdr>
            <w:top w:val="none" w:sz="0" w:space="0" w:color="auto"/>
            <w:left w:val="none" w:sz="0" w:space="0" w:color="auto"/>
            <w:bottom w:val="none" w:sz="0" w:space="0" w:color="auto"/>
            <w:right w:val="none" w:sz="0" w:space="0" w:color="auto"/>
          </w:divBdr>
        </w:div>
        <w:div w:id="1949776609">
          <w:marLeft w:val="446"/>
          <w:marRight w:val="0"/>
          <w:marTop w:val="0"/>
          <w:marBottom w:val="0"/>
          <w:divBdr>
            <w:top w:val="none" w:sz="0" w:space="0" w:color="auto"/>
            <w:left w:val="none" w:sz="0" w:space="0" w:color="auto"/>
            <w:bottom w:val="none" w:sz="0" w:space="0" w:color="auto"/>
            <w:right w:val="none" w:sz="0" w:space="0" w:color="auto"/>
          </w:divBdr>
        </w:div>
        <w:div w:id="204487701">
          <w:marLeft w:val="446"/>
          <w:marRight w:val="0"/>
          <w:marTop w:val="0"/>
          <w:marBottom w:val="0"/>
          <w:divBdr>
            <w:top w:val="none" w:sz="0" w:space="0" w:color="auto"/>
            <w:left w:val="none" w:sz="0" w:space="0" w:color="auto"/>
            <w:bottom w:val="none" w:sz="0" w:space="0" w:color="auto"/>
            <w:right w:val="none" w:sz="0" w:space="0" w:color="auto"/>
          </w:divBdr>
        </w:div>
        <w:div w:id="606931925">
          <w:marLeft w:val="446"/>
          <w:marRight w:val="0"/>
          <w:marTop w:val="0"/>
          <w:marBottom w:val="0"/>
          <w:divBdr>
            <w:top w:val="none" w:sz="0" w:space="0" w:color="auto"/>
            <w:left w:val="none" w:sz="0" w:space="0" w:color="auto"/>
            <w:bottom w:val="none" w:sz="0" w:space="0" w:color="auto"/>
            <w:right w:val="none" w:sz="0" w:space="0" w:color="auto"/>
          </w:divBdr>
        </w:div>
        <w:div w:id="2006934039">
          <w:marLeft w:val="446"/>
          <w:marRight w:val="0"/>
          <w:marTop w:val="0"/>
          <w:marBottom w:val="0"/>
          <w:divBdr>
            <w:top w:val="none" w:sz="0" w:space="0" w:color="auto"/>
            <w:left w:val="none" w:sz="0" w:space="0" w:color="auto"/>
            <w:bottom w:val="none" w:sz="0" w:space="0" w:color="auto"/>
            <w:right w:val="none" w:sz="0" w:space="0" w:color="auto"/>
          </w:divBdr>
        </w:div>
        <w:div w:id="831792472">
          <w:marLeft w:val="446"/>
          <w:marRight w:val="0"/>
          <w:marTop w:val="0"/>
          <w:marBottom w:val="0"/>
          <w:divBdr>
            <w:top w:val="none" w:sz="0" w:space="0" w:color="auto"/>
            <w:left w:val="none" w:sz="0" w:space="0" w:color="auto"/>
            <w:bottom w:val="none" w:sz="0" w:space="0" w:color="auto"/>
            <w:right w:val="none" w:sz="0" w:space="0" w:color="auto"/>
          </w:divBdr>
        </w:div>
      </w:divsChild>
    </w:div>
    <w:div w:id="114638800">
      <w:bodyDiv w:val="1"/>
      <w:marLeft w:val="0"/>
      <w:marRight w:val="0"/>
      <w:marTop w:val="0"/>
      <w:marBottom w:val="0"/>
      <w:divBdr>
        <w:top w:val="none" w:sz="0" w:space="0" w:color="auto"/>
        <w:left w:val="none" w:sz="0" w:space="0" w:color="auto"/>
        <w:bottom w:val="none" w:sz="0" w:space="0" w:color="auto"/>
        <w:right w:val="none" w:sz="0" w:space="0" w:color="auto"/>
      </w:divBdr>
    </w:div>
    <w:div w:id="114911499">
      <w:bodyDiv w:val="1"/>
      <w:marLeft w:val="0"/>
      <w:marRight w:val="0"/>
      <w:marTop w:val="0"/>
      <w:marBottom w:val="0"/>
      <w:divBdr>
        <w:top w:val="none" w:sz="0" w:space="0" w:color="auto"/>
        <w:left w:val="none" w:sz="0" w:space="0" w:color="auto"/>
        <w:bottom w:val="none" w:sz="0" w:space="0" w:color="auto"/>
        <w:right w:val="none" w:sz="0" w:space="0" w:color="auto"/>
      </w:divBdr>
    </w:div>
    <w:div w:id="121700808">
      <w:bodyDiv w:val="1"/>
      <w:marLeft w:val="0"/>
      <w:marRight w:val="0"/>
      <w:marTop w:val="0"/>
      <w:marBottom w:val="0"/>
      <w:divBdr>
        <w:top w:val="none" w:sz="0" w:space="0" w:color="auto"/>
        <w:left w:val="none" w:sz="0" w:space="0" w:color="auto"/>
        <w:bottom w:val="none" w:sz="0" w:space="0" w:color="auto"/>
        <w:right w:val="none" w:sz="0" w:space="0" w:color="auto"/>
      </w:divBdr>
    </w:div>
    <w:div w:id="124977465">
      <w:bodyDiv w:val="1"/>
      <w:marLeft w:val="0"/>
      <w:marRight w:val="0"/>
      <w:marTop w:val="0"/>
      <w:marBottom w:val="0"/>
      <w:divBdr>
        <w:top w:val="none" w:sz="0" w:space="0" w:color="auto"/>
        <w:left w:val="none" w:sz="0" w:space="0" w:color="auto"/>
        <w:bottom w:val="none" w:sz="0" w:space="0" w:color="auto"/>
        <w:right w:val="none" w:sz="0" w:space="0" w:color="auto"/>
      </w:divBdr>
    </w:div>
    <w:div w:id="127671888">
      <w:bodyDiv w:val="1"/>
      <w:marLeft w:val="0"/>
      <w:marRight w:val="0"/>
      <w:marTop w:val="0"/>
      <w:marBottom w:val="0"/>
      <w:divBdr>
        <w:top w:val="none" w:sz="0" w:space="0" w:color="auto"/>
        <w:left w:val="none" w:sz="0" w:space="0" w:color="auto"/>
        <w:bottom w:val="none" w:sz="0" w:space="0" w:color="auto"/>
        <w:right w:val="none" w:sz="0" w:space="0" w:color="auto"/>
      </w:divBdr>
    </w:div>
    <w:div w:id="141967564">
      <w:bodyDiv w:val="1"/>
      <w:marLeft w:val="0"/>
      <w:marRight w:val="0"/>
      <w:marTop w:val="0"/>
      <w:marBottom w:val="0"/>
      <w:divBdr>
        <w:top w:val="none" w:sz="0" w:space="0" w:color="auto"/>
        <w:left w:val="none" w:sz="0" w:space="0" w:color="auto"/>
        <w:bottom w:val="none" w:sz="0" w:space="0" w:color="auto"/>
        <w:right w:val="none" w:sz="0" w:space="0" w:color="auto"/>
      </w:divBdr>
    </w:div>
    <w:div w:id="166559502">
      <w:bodyDiv w:val="1"/>
      <w:marLeft w:val="0"/>
      <w:marRight w:val="0"/>
      <w:marTop w:val="0"/>
      <w:marBottom w:val="0"/>
      <w:divBdr>
        <w:top w:val="none" w:sz="0" w:space="0" w:color="auto"/>
        <w:left w:val="none" w:sz="0" w:space="0" w:color="auto"/>
        <w:bottom w:val="none" w:sz="0" w:space="0" w:color="auto"/>
        <w:right w:val="none" w:sz="0" w:space="0" w:color="auto"/>
      </w:divBdr>
    </w:div>
    <w:div w:id="190187041">
      <w:bodyDiv w:val="1"/>
      <w:marLeft w:val="0"/>
      <w:marRight w:val="0"/>
      <w:marTop w:val="0"/>
      <w:marBottom w:val="0"/>
      <w:divBdr>
        <w:top w:val="none" w:sz="0" w:space="0" w:color="auto"/>
        <w:left w:val="none" w:sz="0" w:space="0" w:color="auto"/>
        <w:bottom w:val="none" w:sz="0" w:space="0" w:color="auto"/>
        <w:right w:val="none" w:sz="0" w:space="0" w:color="auto"/>
      </w:divBdr>
    </w:div>
    <w:div w:id="195968859">
      <w:bodyDiv w:val="1"/>
      <w:marLeft w:val="0"/>
      <w:marRight w:val="0"/>
      <w:marTop w:val="0"/>
      <w:marBottom w:val="0"/>
      <w:divBdr>
        <w:top w:val="none" w:sz="0" w:space="0" w:color="auto"/>
        <w:left w:val="none" w:sz="0" w:space="0" w:color="auto"/>
        <w:bottom w:val="none" w:sz="0" w:space="0" w:color="auto"/>
        <w:right w:val="none" w:sz="0" w:space="0" w:color="auto"/>
      </w:divBdr>
    </w:div>
    <w:div w:id="198663643">
      <w:bodyDiv w:val="1"/>
      <w:marLeft w:val="0"/>
      <w:marRight w:val="0"/>
      <w:marTop w:val="0"/>
      <w:marBottom w:val="0"/>
      <w:divBdr>
        <w:top w:val="none" w:sz="0" w:space="0" w:color="auto"/>
        <w:left w:val="none" w:sz="0" w:space="0" w:color="auto"/>
        <w:bottom w:val="none" w:sz="0" w:space="0" w:color="auto"/>
        <w:right w:val="none" w:sz="0" w:space="0" w:color="auto"/>
      </w:divBdr>
    </w:div>
    <w:div w:id="306596227">
      <w:bodyDiv w:val="1"/>
      <w:marLeft w:val="0"/>
      <w:marRight w:val="0"/>
      <w:marTop w:val="0"/>
      <w:marBottom w:val="0"/>
      <w:divBdr>
        <w:top w:val="none" w:sz="0" w:space="0" w:color="auto"/>
        <w:left w:val="none" w:sz="0" w:space="0" w:color="auto"/>
        <w:bottom w:val="none" w:sz="0" w:space="0" w:color="auto"/>
        <w:right w:val="none" w:sz="0" w:space="0" w:color="auto"/>
      </w:divBdr>
    </w:div>
    <w:div w:id="309939350">
      <w:bodyDiv w:val="1"/>
      <w:marLeft w:val="0"/>
      <w:marRight w:val="0"/>
      <w:marTop w:val="0"/>
      <w:marBottom w:val="0"/>
      <w:divBdr>
        <w:top w:val="none" w:sz="0" w:space="0" w:color="auto"/>
        <w:left w:val="none" w:sz="0" w:space="0" w:color="auto"/>
        <w:bottom w:val="none" w:sz="0" w:space="0" w:color="auto"/>
        <w:right w:val="none" w:sz="0" w:space="0" w:color="auto"/>
      </w:divBdr>
    </w:div>
    <w:div w:id="359472834">
      <w:bodyDiv w:val="1"/>
      <w:marLeft w:val="0"/>
      <w:marRight w:val="0"/>
      <w:marTop w:val="0"/>
      <w:marBottom w:val="0"/>
      <w:divBdr>
        <w:top w:val="none" w:sz="0" w:space="0" w:color="auto"/>
        <w:left w:val="none" w:sz="0" w:space="0" w:color="auto"/>
        <w:bottom w:val="none" w:sz="0" w:space="0" w:color="auto"/>
        <w:right w:val="none" w:sz="0" w:space="0" w:color="auto"/>
      </w:divBdr>
    </w:div>
    <w:div w:id="369113239">
      <w:bodyDiv w:val="1"/>
      <w:marLeft w:val="0"/>
      <w:marRight w:val="0"/>
      <w:marTop w:val="0"/>
      <w:marBottom w:val="0"/>
      <w:divBdr>
        <w:top w:val="none" w:sz="0" w:space="0" w:color="auto"/>
        <w:left w:val="none" w:sz="0" w:space="0" w:color="auto"/>
        <w:bottom w:val="none" w:sz="0" w:space="0" w:color="auto"/>
        <w:right w:val="none" w:sz="0" w:space="0" w:color="auto"/>
      </w:divBdr>
    </w:div>
    <w:div w:id="411270935">
      <w:bodyDiv w:val="1"/>
      <w:marLeft w:val="0"/>
      <w:marRight w:val="0"/>
      <w:marTop w:val="0"/>
      <w:marBottom w:val="0"/>
      <w:divBdr>
        <w:top w:val="none" w:sz="0" w:space="0" w:color="auto"/>
        <w:left w:val="none" w:sz="0" w:space="0" w:color="auto"/>
        <w:bottom w:val="none" w:sz="0" w:space="0" w:color="auto"/>
        <w:right w:val="none" w:sz="0" w:space="0" w:color="auto"/>
      </w:divBdr>
    </w:div>
    <w:div w:id="412164265">
      <w:bodyDiv w:val="1"/>
      <w:marLeft w:val="0"/>
      <w:marRight w:val="0"/>
      <w:marTop w:val="0"/>
      <w:marBottom w:val="0"/>
      <w:divBdr>
        <w:top w:val="none" w:sz="0" w:space="0" w:color="auto"/>
        <w:left w:val="none" w:sz="0" w:space="0" w:color="auto"/>
        <w:bottom w:val="none" w:sz="0" w:space="0" w:color="auto"/>
        <w:right w:val="none" w:sz="0" w:space="0" w:color="auto"/>
      </w:divBdr>
    </w:div>
    <w:div w:id="437214231">
      <w:bodyDiv w:val="1"/>
      <w:marLeft w:val="0"/>
      <w:marRight w:val="0"/>
      <w:marTop w:val="0"/>
      <w:marBottom w:val="0"/>
      <w:divBdr>
        <w:top w:val="none" w:sz="0" w:space="0" w:color="auto"/>
        <w:left w:val="none" w:sz="0" w:space="0" w:color="auto"/>
        <w:bottom w:val="none" w:sz="0" w:space="0" w:color="auto"/>
        <w:right w:val="none" w:sz="0" w:space="0" w:color="auto"/>
      </w:divBdr>
    </w:div>
    <w:div w:id="457332416">
      <w:bodyDiv w:val="1"/>
      <w:marLeft w:val="0"/>
      <w:marRight w:val="0"/>
      <w:marTop w:val="0"/>
      <w:marBottom w:val="0"/>
      <w:divBdr>
        <w:top w:val="none" w:sz="0" w:space="0" w:color="auto"/>
        <w:left w:val="none" w:sz="0" w:space="0" w:color="auto"/>
        <w:bottom w:val="none" w:sz="0" w:space="0" w:color="auto"/>
        <w:right w:val="none" w:sz="0" w:space="0" w:color="auto"/>
      </w:divBdr>
      <w:divsChild>
        <w:div w:id="895049308">
          <w:marLeft w:val="547"/>
          <w:marRight w:val="0"/>
          <w:marTop w:val="0"/>
          <w:marBottom w:val="0"/>
          <w:divBdr>
            <w:top w:val="none" w:sz="0" w:space="0" w:color="auto"/>
            <w:left w:val="none" w:sz="0" w:space="0" w:color="auto"/>
            <w:bottom w:val="none" w:sz="0" w:space="0" w:color="auto"/>
            <w:right w:val="none" w:sz="0" w:space="0" w:color="auto"/>
          </w:divBdr>
        </w:div>
      </w:divsChild>
    </w:div>
    <w:div w:id="481044022">
      <w:bodyDiv w:val="1"/>
      <w:marLeft w:val="0"/>
      <w:marRight w:val="0"/>
      <w:marTop w:val="0"/>
      <w:marBottom w:val="0"/>
      <w:divBdr>
        <w:top w:val="none" w:sz="0" w:space="0" w:color="auto"/>
        <w:left w:val="none" w:sz="0" w:space="0" w:color="auto"/>
        <w:bottom w:val="none" w:sz="0" w:space="0" w:color="auto"/>
        <w:right w:val="none" w:sz="0" w:space="0" w:color="auto"/>
      </w:divBdr>
    </w:div>
    <w:div w:id="488601563">
      <w:bodyDiv w:val="1"/>
      <w:marLeft w:val="0"/>
      <w:marRight w:val="0"/>
      <w:marTop w:val="0"/>
      <w:marBottom w:val="0"/>
      <w:divBdr>
        <w:top w:val="none" w:sz="0" w:space="0" w:color="auto"/>
        <w:left w:val="none" w:sz="0" w:space="0" w:color="auto"/>
        <w:bottom w:val="none" w:sz="0" w:space="0" w:color="auto"/>
        <w:right w:val="none" w:sz="0" w:space="0" w:color="auto"/>
      </w:divBdr>
    </w:div>
    <w:div w:id="502209656">
      <w:bodyDiv w:val="1"/>
      <w:marLeft w:val="0"/>
      <w:marRight w:val="0"/>
      <w:marTop w:val="0"/>
      <w:marBottom w:val="0"/>
      <w:divBdr>
        <w:top w:val="none" w:sz="0" w:space="0" w:color="auto"/>
        <w:left w:val="none" w:sz="0" w:space="0" w:color="auto"/>
        <w:bottom w:val="none" w:sz="0" w:space="0" w:color="auto"/>
        <w:right w:val="none" w:sz="0" w:space="0" w:color="auto"/>
      </w:divBdr>
    </w:div>
    <w:div w:id="504975199">
      <w:bodyDiv w:val="1"/>
      <w:marLeft w:val="0"/>
      <w:marRight w:val="0"/>
      <w:marTop w:val="0"/>
      <w:marBottom w:val="0"/>
      <w:divBdr>
        <w:top w:val="none" w:sz="0" w:space="0" w:color="auto"/>
        <w:left w:val="none" w:sz="0" w:space="0" w:color="auto"/>
        <w:bottom w:val="none" w:sz="0" w:space="0" w:color="auto"/>
        <w:right w:val="none" w:sz="0" w:space="0" w:color="auto"/>
      </w:divBdr>
    </w:div>
    <w:div w:id="505708450">
      <w:bodyDiv w:val="1"/>
      <w:marLeft w:val="0"/>
      <w:marRight w:val="0"/>
      <w:marTop w:val="0"/>
      <w:marBottom w:val="0"/>
      <w:divBdr>
        <w:top w:val="none" w:sz="0" w:space="0" w:color="auto"/>
        <w:left w:val="none" w:sz="0" w:space="0" w:color="auto"/>
        <w:bottom w:val="none" w:sz="0" w:space="0" w:color="auto"/>
        <w:right w:val="none" w:sz="0" w:space="0" w:color="auto"/>
      </w:divBdr>
    </w:div>
    <w:div w:id="514345348">
      <w:bodyDiv w:val="1"/>
      <w:marLeft w:val="0"/>
      <w:marRight w:val="0"/>
      <w:marTop w:val="0"/>
      <w:marBottom w:val="0"/>
      <w:divBdr>
        <w:top w:val="none" w:sz="0" w:space="0" w:color="auto"/>
        <w:left w:val="none" w:sz="0" w:space="0" w:color="auto"/>
        <w:bottom w:val="none" w:sz="0" w:space="0" w:color="auto"/>
        <w:right w:val="none" w:sz="0" w:space="0" w:color="auto"/>
      </w:divBdr>
    </w:div>
    <w:div w:id="535433545">
      <w:bodyDiv w:val="1"/>
      <w:marLeft w:val="0"/>
      <w:marRight w:val="0"/>
      <w:marTop w:val="0"/>
      <w:marBottom w:val="0"/>
      <w:divBdr>
        <w:top w:val="none" w:sz="0" w:space="0" w:color="auto"/>
        <w:left w:val="none" w:sz="0" w:space="0" w:color="auto"/>
        <w:bottom w:val="none" w:sz="0" w:space="0" w:color="auto"/>
        <w:right w:val="none" w:sz="0" w:space="0" w:color="auto"/>
      </w:divBdr>
    </w:div>
    <w:div w:id="570042074">
      <w:bodyDiv w:val="1"/>
      <w:marLeft w:val="0"/>
      <w:marRight w:val="0"/>
      <w:marTop w:val="0"/>
      <w:marBottom w:val="0"/>
      <w:divBdr>
        <w:top w:val="none" w:sz="0" w:space="0" w:color="auto"/>
        <w:left w:val="none" w:sz="0" w:space="0" w:color="auto"/>
        <w:bottom w:val="none" w:sz="0" w:space="0" w:color="auto"/>
        <w:right w:val="none" w:sz="0" w:space="0" w:color="auto"/>
      </w:divBdr>
    </w:div>
    <w:div w:id="579019505">
      <w:bodyDiv w:val="1"/>
      <w:marLeft w:val="0"/>
      <w:marRight w:val="0"/>
      <w:marTop w:val="0"/>
      <w:marBottom w:val="0"/>
      <w:divBdr>
        <w:top w:val="none" w:sz="0" w:space="0" w:color="auto"/>
        <w:left w:val="none" w:sz="0" w:space="0" w:color="auto"/>
        <w:bottom w:val="none" w:sz="0" w:space="0" w:color="auto"/>
        <w:right w:val="none" w:sz="0" w:space="0" w:color="auto"/>
      </w:divBdr>
    </w:div>
    <w:div w:id="588008289">
      <w:bodyDiv w:val="1"/>
      <w:marLeft w:val="0"/>
      <w:marRight w:val="0"/>
      <w:marTop w:val="0"/>
      <w:marBottom w:val="0"/>
      <w:divBdr>
        <w:top w:val="none" w:sz="0" w:space="0" w:color="auto"/>
        <w:left w:val="none" w:sz="0" w:space="0" w:color="auto"/>
        <w:bottom w:val="none" w:sz="0" w:space="0" w:color="auto"/>
        <w:right w:val="none" w:sz="0" w:space="0" w:color="auto"/>
      </w:divBdr>
    </w:div>
    <w:div w:id="635719654">
      <w:bodyDiv w:val="1"/>
      <w:marLeft w:val="0"/>
      <w:marRight w:val="0"/>
      <w:marTop w:val="0"/>
      <w:marBottom w:val="0"/>
      <w:divBdr>
        <w:top w:val="none" w:sz="0" w:space="0" w:color="auto"/>
        <w:left w:val="none" w:sz="0" w:space="0" w:color="auto"/>
        <w:bottom w:val="none" w:sz="0" w:space="0" w:color="auto"/>
        <w:right w:val="none" w:sz="0" w:space="0" w:color="auto"/>
      </w:divBdr>
    </w:div>
    <w:div w:id="649598121">
      <w:bodyDiv w:val="1"/>
      <w:marLeft w:val="0"/>
      <w:marRight w:val="0"/>
      <w:marTop w:val="0"/>
      <w:marBottom w:val="0"/>
      <w:divBdr>
        <w:top w:val="none" w:sz="0" w:space="0" w:color="auto"/>
        <w:left w:val="none" w:sz="0" w:space="0" w:color="auto"/>
        <w:bottom w:val="none" w:sz="0" w:space="0" w:color="auto"/>
        <w:right w:val="none" w:sz="0" w:space="0" w:color="auto"/>
      </w:divBdr>
    </w:div>
    <w:div w:id="658341834">
      <w:bodyDiv w:val="1"/>
      <w:marLeft w:val="0"/>
      <w:marRight w:val="0"/>
      <w:marTop w:val="0"/>
      <w:marBottom w:val="0"/>
      <w:divBdr>
        <w:top w:val="none" w:sz="0" w:space="0" w:color="auto"/>
        <w:left w:val="none" w:sz="0" w:space="0" w:color="auto"/>
        <w:bottom w:val="none" w:sz="0" w:space="0" w:color="auto"/>
        <w:right w:val="none" w:sz="0" w:space="0" w:color="auto"/>
      </w:divBdr>
    </w:div>
    <w:div w:id="695930314">
      <w:bodyDiv w:val="1"/>
      <w:marLeft w:val="0"/>
      <w:marRight w:val="0"/>
      <w:marTop w:val="0"/>
      <w:marBottom w:val="0"/>
      <w:divBdr>
        <w:top w:val="none" w:sz="0" w:space="0" w:color="auto"/>
        <w:left w:val="none" w:sz="0" w:space="0" w:color="auto"/>
        <w:bottom w:val="none" w:sz="0" w:space="0" w:color="auto"/>
        <w:right w:val="none" w:sz="0" w:space="0" w:color="auto"/>
      </w:divBdr>
    </w:div>
    <w:div w:id="700207154">
      <w:bodyDiv w:val="1"/>
      <w:marLeft w:val="0"/>
      <w:marRight w:val="0"/>
      <w:marTop w:val="0"/>
      <w:marBottom w:val="0"/>
      <w:divBdr>
        <w:top w:val="none" w:sz="0" w:space="0" w:color="auto"/>
        <w:left w:val="none" w:sz="0" w:space="0" w:color="auto"/>
        <w:bottom w:val="none" w:sz="0" w:space="0" w:color="auto"/>
        <w:right w:val="none" w:sz="0" w:space="0" w:color="auto"/>
      </w:divBdr>
    </w:div>
    <w:div w:id="706413179">
      <w:bodyDiv w:val="1"/>
      <w:marLeft w:val="0"/>
      <w:marRight w:val="0"/>
      <w:marTop w:val="0"/>
      <w:marBottom w:val="0"/>
      <w:divBdr>
        <w:top w:val="none" w:sz="0" w:space="0" w:color="auto"/>
        <w:left w:val="none" w:sz="0" w:space="0" w:color="auto"/>
        <w:bottom w:val="none" w:sz="0" w:space="0" w:color="auto"/>
        <w:right w:val="none" w:sz="0" w:space="0" w:color="auto"/>
      </w:divBdr>
    </w:div>
    <w:div w:id="715350919">
      <w:bodyDiv w:val="1"/>
      <w:marLeft w:val="0"/>
      <w:marRight w:val="0"/>
      <w:marTop w:val="0"/>
      <w:marBottom w:val="0"/>
      <w:divBdr>
        <w:top w:val="none" w:sz="0" w:space="0" w:color="auto"/>
        <w:left w:val="none" w:sz="0" w:space="0" w:color="auto"/>
        <w:bottom w:val="none" w:sz="0" w:space="0" w:color="auto"/>
        <w:right w:val="none" w:sz="0" w:space="0" w:color="auto"/>
      </w:divBdr>
    </w:div>
    <w:div w:id="725646299">
      <w:bodyDiv w:val="1"/>
      <w:marLeft w:val="0"/>
      <w:marRight w:val="0"/>
      <w:marTop w:val="0"/>
      <w:marBottom w:val="0"/>
      <w:divBdr>
        <w:top w:val="none" w:sz="0" w:space="0" w:color="auto"/>
        <w:left w:val="none" w:sz="0" w:space="0" w:color="auto"/>
        <w:bottom w:val="none" w:sz="0" w:space="0" w:color="auto"/>
        <w:right w:val="none" w:sz="0" w:space="0" w:color="auto"/>
      </w:divBdr>
    </w:div>
    <w:div w:id="733313371">
      <w:bodyDiv w:val="1"/>
      <w:marLeft w:val="0"/>
      <w:marRight w:val="0"/>
      <w:marTop w:val="0"/>
      <w:marBottom w:val="0"/>
      <w:divBdr>
        <w:top w:val="none" w:sz="0" w:space="0" w:color="auto"/>
        <w:left w:val="none" w:sz="0" w:space="0" w:color="auto"/>
        <w:bottom w:val="none" w:sz="0" w:space="0" w:color="auto"/>
        <w:right w:val="none" w:sz="0" w:space="0" w:color="auto"/>
      </w:divBdr>
    </w:div>
    <w:div w:id="739063189">
      <w:bodyDiv w:val="1"/>
      <w:marLeft w:val="0"/>
      <w:marRight w:val="0"/>
      <w:marTop w:val="0"/>
      <w:marBottom w:val="0"/>
      <w:divBdr>
        <w:top w:val="none" w:sz="0" w:space="0" w:color="auto"/>
        <w:left w:val="none" w:sz="0" w:space="0" w:color="auto"/>
        <w:bottom w:val="none" w:sz="0" w:space="0" w:color="auto"/>
        <w:right w:val="none" w:sz="0" w:space="0" w:color="auto"/>
      </w:divBdr>
    </w:div>
    <w:div w:id="751314864">
      <w:bodyDiv w:val="1"/>
      <w:marLeft w:val="0"/>
      <w:marRight w:val="0"/>
      <w:marTop w:val="0"/>
      <w:marBottom w:val="0"/>
      <w:divBdr>
        <w:top w:val="none" w:sz="0" w:space="0" w:color="auto"/>
        <w:left w:val="none" w:sz="0" w:space="0" w:color="auto"/>
        <w:bottom w:val="none" w:sz="0" w:space="0" w:color="auto"/>
        <w:right w:val="none" w:sz="0" w:space="0" w:color="auto"/>
      </w:divBdr>
    </w:div>
    <w:div w:id="764543264">
      <w:bodyDiv w:val="1"/>
      <w:marLeft w:val="0"/>
      <w:marRight w:val="0"/>
      <w:marTop w:val="0"/>
      <w:marBottom w:val="0"/>
      <w:divBdr>
        <w:top w:val="none" w:sz="0" w:space="0" w:color="auto"/>
        <w:left w:val="none" w:sz="0" w:space="0" w:color="auto"/>
        <w:bottom w:val="none" w:sz="0" w:space="0" w:color="auto"/>
        <w:right w:val="none" w:sz="0" w:space="0" w:color="auto"/>
      </w:divBdr>
    </w:div>
    <w:div w:id="826675176">
      <w:bodyDiv w:val="1"/>
      <w:marLeft w:val="0"/>
      <w:marRight w:val="0"/>
      <w:marTop w:val="0"/>
      <w:marBottom w:val="0"/>
      <w:divBdr>
        <w:top w:val="none" w:sz="0" w:space="0" w:color="auto"/>
        <w:left w:val="none" w:sz="0" w:space="0" w:color="auto"/>
        <w:bottom w:val="none" w:sz="0" w:space="0" w:color="auto"/>
        <w:right w:val="none" w:sz="0" w:space="0" w:color="auto"/>
      </w:divBdr>
    </w:div>
    <w:div w:id="831288404">
      <w:bodyDiv w:val="1"/>
      <w:marLeft w:val="0"/>
      <w:marRight w:val="0"/>
      <w:marTop w:val="0"/>
      <w:marBottom w:val="0"/>
      <w:divBdr>
        <w:top w:val="none" w:sz="0" w:space="0" w:color="auto"/>
        <w:left w:val="none" w:sz="0" w:space="0" w:color="auto"/>
        <w:bottom w:val="none" w:sz="0" w:space="0" w:color="auto"/>
        <w:right w:val="none" w:sz="0" w:space="0" w:color="auto"/>
      </w:divBdr>
    </w:div>
    <w:div w:id="842404047">
      <w:bodyDiv w:val="1"/>
      <w:marLeft w:val="0"/>
      <w:marRight w:val="0"/>
      <w:marTop w:val="0"/>
      <w:marBottom w:val="0"/>
      <w:divBdr>
        <w:top w:val="none" w:sz="0" w:space="0" w:color="auto"/>
        <w:left w:val="none" w:sz="0" w:space="0" w:color="auto"/>
        <w:bottom w:val="none" w:sz="0" w:space="0" w:color="auto"/>
        <w:right w:val="none" w:sz="0" w:space="0" w:color="auto"/>
      </w:divBdr>
      <w:divsChild>
        <w:div w:id="1706178585">
          <w:marLeft w:val="1440"/>
          <w:marRight w:val="0"/>
          <w:marTop w:val="0"/>
          <w:marBottom w:val="0"/>
          <w:divBdr>
            <w:top w:val="none" w:sz="0" w:space="0" w:color="auto"/>
            <w:left w:val="none" w:sz="0" w:space="0" w:color="auto"/>
            <w:bottom w:val="none" w:sz="0" w:space="0" w:color="auto"/>
            <w:right w:val="none" w:sz="0" w:space="0" w:color="auto"/>
          </w:divBdr>
        </w:div>
      </w:divsChild>
    </w:div>
    <w:div w:id="847982623">
      <w:bodyDiv w:val="1"/>
      <w:marLeft w:val="0"/>
      <w:marRight w:val="0"/>
      <w:marTop w:val="0"/>
      <w:marBottom w:val="0"/>
      <w:divBdr>
        <w:top w:val="none" w:sz="0" w:space="0" w:color="auto"/>
        <w:left w:val="none" w:sz="0" w:space="0" w:color="auto"/>
        <w:bottom w:val="none" w:sz="0" w:space="0" w:color="auto"/>
        <w:right w:val="none" w:sz="0" w:space="0" w:color="auto"/>
      </w:divBdr>
    </w:div>
    <w:div w:id="870998339">
      <w:bodyDiv w:val="1"/>
      <w:marLeft w:val="0"/>
      <w:marRight w:val="0"/>
      <w:marTop w:val="0"/>
      <w:marBottom w:val="0"/>
      <w:divBdr>
        <w:top w:val="none" w:sz="0" w:space="0" w:color="auto"/>
        <w:left w:val="none" w:sz="0" w:space="0" w:color="auto"/>
        <w:bottom w:val="none" w:sz="0" w:space="0" w:color="auto"/>
        <w:right w:val="none" w:sz="0" w:space="0" w:color="auto"/>
      </w:divBdr>
      <w:divsChild>
        <w:div w:id="1941066182">
          <w:marLeft w:val="562"/>
          <w:marRight w:val="0"/>
          <w:marTop w:val="120"/>
          <w:marBottom w:val="120"/>
          <w:divBdr>
            <w:top w:val="none" w:sz="0" w:space="0" w:color="auto"/>
            <w:left w:val="none" w:sz="0" w:space="0" w:color="auto"/>
            <w:bottom w:val="none" w:sz="0" w:space="0" w:color="auto"/>
            <w:right w:val="none" w:sz="0" w:space="0" w:color="auto"/>
          </w:divBdr>
        </w:div>
      </w:divsChild>
    </w:div>
    <w:div w:id="923342496">
      <w:bodyDiv w:val="1"/>
      <w:marLeft w:val="0"/>
      <w:marRight w:val="0"/>
      <w:marTop w:val="0"/>
      <w:marBottom w:val="0"/>
      <w:divBdr>
        <w:top w:val="none" w:sz="0" w:space="0" w:color="auto"/>
        <w:left w:val="none" w:sz="0" w:space="0" w:color="auto"/>
        <w:bottom w:val="none" w:sz="0" w:space="0" w:color="auto"/>
        <w:right w:val="none" w:sz="0" w:space="0" w:color="auto"/>
      </w:divBdr>
    </w:div>
    <w:div w:id="947271342">
      <w:bodyDiv w:val="1"/>
      <w:marLeft w:val="0"/>
      <w:marRight w:val="0"/>
      <w:marTop w:val="0"/>
      <w:marBottom w:val="0"/>
      <w:divBdr>
        <w:top w:val="none" w:sz="0" w:space="0" w:color="auto"/>
        <w:left w:val="none" w:sz="0" w:space="0" w:color="auto"/>
        <w:bottom w:val="none" w:sz="0" w:space="0" w:color="auto"/>
        <w:right w:val="none" w:sz="0" w:space="0" w:color="auto"/>
      </w:divBdr>
    </w:div>
    <w:div w:id="951940180">
      <w:bodyDiv w:val="1"/>
      <w:marLeft w:val="0"/>
      <w:marRight w:val="0"/>
      <w:marTop w:val="0"/>
      <w:marBottom w:val="0"/>
      <w:divBdr>
        <w:top w:val="none" w:sz="0" w:space="0" w:color="auto"/>
        <w:left w:val="none" w:sz="0" w:space="0" w:color="auto"/>
        <w:bottom w:val="none" w:sz="0" w:space="0" w:color="auto"/>
        <w:right w:val="none" w:sz="0" w:space="0" w:color="auto"/>
      </w:divBdr>
    </w:div>
    <w:div w:id="973801500">
      <w:bodyDiv w:val="1"/>
      <w:marLeft w:val="0"/>
      <w:marRight w:val="0"/>
      <w:marTop w:val="0"/>
      <w:marBottom w:val="0"/>
      <w:divBdr>
        <w:top w:val="none" w:sz="0" w:space="0" w:color="auto"/>
        <w:left w:val="none" w:sz="0" w:space="0" w:color="auto"/>
        <w:bottom w:val="none" w:sz="0" w:space="0" w:color="auto"/>
        <w:right w:val="none" w:sz="0" w:space="0" w:color="auto"/>
      </w:divBdr>
    </w:div>
    <w:div w:id="984049480">
      <w:bodyDiv w:val="1"/>
      <w:marLeft w:val="0"/>
      <w:marRight w:val="0"/>
      <w:marTop w:val="0"/>
      <w:marBottom w:val="0"/>
      <w:divBdr>
        <w:top w:val="none" w:sz="0" w:space="0" w:color="auto"/>
        <w:left w:val="none" w:sz="0" w:space="0" w:color="auto"/>
        <w:bottom w:val="none" w:sz="0" w:space="0" w:color="auto"/>
        <w:right w:val="none" w:sz="0" w:space="0" w:color="auto"/>
      </w:divBdr>
    </w:div>
    <w:div w:id="1009913918">
      <w:bodyDiv w:val="1"/>
      <w:marLeft w:val="0"/>
      <w:marRight w:val="0"/>
      <w:marTop w:val="0"/>
      <w:marBottom w:val="0"/>
      <w:divBdr>
        <w:top w:val="none" w:sz="0" w:space="0" w:color="auto"/>
        <w:left w:val="none" w:sz="0" w:space="0" w:color="auto"/>
        <w:bottom w:val="none" w:sz="0" w:space="0" w:color="auto"/>
        <w:right w:val="none" w:sz="0" w:space="0" w:color="auto"/>
      </w:divBdr>
    </w:div>
    <w:div w:id="1028020807">
      <w:bodyDiv w:val="1"/>
      <w:marLeft w:val="0"/>
      <w:marRight w:val="0"/>
      <w:marTop w:val="0"/>
      <w:marBottom w:val="0"/>
      <w:divBdr>
        <w:top w:val="none" w:sz="0" w:space="0" w:color="auto"/>
        <w:left w:val="none" w:sz="0" w:space="0" w:color="auto"/>
        <w:bottom w:val="none" w:sz="0" w:space="0" w:color="auto"/>
        <w:right w:val="none" w:sz="0" w:space="0" w:color="auto"/>
      </w:divBdr>
    </w:div>
    <w:div w:id="1032345853">
      <w:bodyDiv w:val="1"/>
      <w:marLeft w:val="0"/>
      <w:marRight w:val="0"/>
      <w:marTop w:val="0"/>
      <w:marBottom w:val="0"/>
      <w:divBdr>
        <w:top w:val="none" w:sz="0" w:space="0" w:color="auto"/>
        <w:left w:val="none" w:sz="0" w:space="0" w:color="auto"/>
        <w:bottom w:val="none" w:sz="0" w:space="0" w:color="auto"/>
        <w:right w:val="none" w:sz="0" w:space="0" w:color="auto"/>
      </w:divBdr>
    </w:div>
    <w:div w:id="1061710432">
      <w:bodyDiv w:val="1"/>
      <w:marLeft w:val="0"/>
      <w:marRight w:val="0"/>
      <w:marTop w:val="0"/>
      <w:marBottom w:val="0"/>
      <w:divBdr>
        <w:top w:val="none" w:sz="0" w:space="0" w:color="auto"/>
        <w:left w:val="none" w:sz="0" w:space="0" w:color="auto"/>
        <w:bottom w:val="none" w:sz="0" w:space="0" w:color="auto"/>
        <w:right w:val="none" w:sz="0" w:space="0" w:color="auto"/>
      </w:divBdr>
    </w:div>
    <w:div w:id="1135372557">
      <w:bodyDiv w:val="1"/>
      <w:marLeft w:val="0"/>
      <w:marRight w:val="0"/>
      <w:marTop w:val="0"/>
      <w:marBottom w:val="0"/>
      <w:divBdr>
        <w:top w:val="none" w:sz="0" w:space="0" w:color="auto"/>
        <w:left w:val="none" w:sz="0" w:space="0" w:color="auto"/>
        <w:bottom w:val="none" w:sz="0" w:space="0" w:color="auto"/>
        <w:right w:val="none" w:sz="0" w:space="0" w:color="auto"/>
      </w:divBdr>
    </w:div>
    <w:div w:id="1169902772">
      <w:bodyDiv w:val="1"/>
      <w:marLeft w:val="0"/>
      <w:marRight w:val="0"/>
      <w:marTop w:val="0"/>
      <w:marBottom w:val="0"/>
      <w:divBdr>
        <w:top w:val="none" w:sz="0" w:space="0" w:color="auto"/>
        <w:left w:val="none" w:sz="0" w:space="0" w:color="auto"/>
        <w:bottom w:val="none" w:sz="0" w:space="0" w:color="auto"/>
        <w:right w:val="none" w:sz="0" w:space="0" w:color="auto"/>
      </w:divBdr>
    </w:div>
    <w:div w:id="1176266789">
      <w:bodyDiv w:val="1"/>
      <w:marLeft w:val="0"/>
      <w:marRight w:val="0"/>
      <w:marTop w:val="0"/>
      <w:marBottom w:val="0"/>
      <w:divBdr>
        <w:top w:val="none" w:sz="0" w:space="0" w:color="auto"/>
        <w:left w:val="none" w:sz="0" w:space="0" w:color="auto"/>
        <w:bottom w:val="none" w:sz="0" w:space="0" w:color="auto"/>
        <w:right w:val="none" w:sz="0" w:space="0" w:color="auto"/>
      </w:divBdr>
    </w:div>
    <w:div w:id="1193957236">
      <w:bodyDiv w:val="1"/>
      <w:marLeft w:val="0"/>
      <w:marRight w:val="0"/>
      <w:marTop w:val="0"/>
      <w:marBottom w:val="0"/>
      <w:divBdr>
        <w:top w:val="none" w:sz="0" w:space="0" w:color="auto"/>
        <w:left w:val="none" w:sz="0" w:space="0" w:color="auto"/>
        <w:bottom w:val="none" w:sz="0" w:space="0" w:color="auto"/>
        <w:right w:val="none" w:sz="0" w:space="0" w:color="auto"/>
      </w:divBdr>
    </w:div>
    <w:div w:id="1196389693">
      <w:bodyDiv w:val="1"/>
      <w:marLeft w:val="0"/>
      <w:marRight w:val="0"/>
      <w:marTop w:val="0"/>
      <w:marBottom w:val="0"/>
      <w:divBdr>
        <w:top w:val="none" w:sz="0" w:space="0" w:color="auto"/>
        <w:left w:val="none" w:sz="0" w:space="0" w:color="auto"/>
        <w:bottom w:val="none" w:sz="0" w:space="0" w:color="auto"/>
        <w:right w:val="none" w:sz="0" w:space="0" w:color="auto"/>
      </w:divBdr>
    </w:div>
    <w:div w:id="1196768177">
      <w:bodyDiv w:val="1"/>
      <w:marLeft w:val="0"/>
      <w:marRight w:val="0"/>
      <w:marTop w:val="0"/>
      <w:marBottom w:val="0"/>
      <w:divBdr>
        <w:top w:val="none" w:sz="0" w:space="0" w:color="auto"/>
        <w:left w:val="none" w:sz="0" w:space="0" w:color="auto"/>
        <w:bottom w:val="none" w:sz="0" w:space="0" w:color="auto"/>
        <w:right w:val="none" w:sz="0" w:space="0" w:color="auto"/>
      </w:divBdr>
    </w:div>
    <w:div w:id="1203443091">
      <w:bodyDiv w:val="1"/>
      <w:marLeft w:val="0"/>
      <w:marRight w:val="0"/>
      <w:marTop w:val="0"/>
      <w:marBottom w:val="0"/>
      <w:divBdr>
        <w:top w:val="none" w:sz="0" w:space="0" w:color="auto"/>
        <w:left w:val="none" w:sz="0" w:space="0" w:color="auto"/>
        <w:bottom w:val="none" w:sz="0" w:space="0" w:color="auto"/>
        <w:right w:val="none" w:sz="0" w:space="0" w:color="auto"/>
      </w:divBdr>
    </w:div>
    <w:div w:id="1203857423">
      <w:bodyDiv w:val="1"/>
      <w:marLeft w:val="0"/>
      <w:marRight w:val="0"/>
      <w:marTop w:val="0"/>
      <w:marBottom w:val="0"/>
      <w:divBdr>
        <w:top w:val="none" w:sz="0" w:space="0" w:color="auto"/>
        <w:left w:val="none" w:sz="0" w:space="0" w:color="auto"/>
        <w:bottom w:val="none" w:sz="0" w:space="0" w:color="auto"/>
        <w:right w:val="none" w:sz="0" w:space="0" w:color="auto"/>
      </w:divBdr>
    </w:div>
    <w:div w:id="1260334262">
      <w:bodyDiv w:val="1"/>
      <w:marLeft w:val="0"/>
      <w:marRight w:val="0"/>
      <w:marTop w:val="0"/>
      <w:marBottom w:val="0"/>
      <w:divBdr>
        <w:top w:val="none" w:sz="0" w:space="0" w:color="auto"/>
        <w:left w:val="none" w:sz="0" w:space="0" w:color="auto"/>
        <w:bottom w:val="none" w:sz="0" w:space="0" w:color="auto"/>
        <w:right w:val="none" w:sz="0" w:space="0" w:color="auto"/>
      </w:divBdr>
    </w:div>
    <w:div w:id="1276711371">
      <w:bodyDiv w:val="1"/>
      <w:marLeft w:val="0"/>
      <w:marRight w:val="0"/>
      <w:marTop w:val="0"/>
      <w:marBottom w:val="0"/>
      <w:divBdr>
        <w:top w:val="none" w:sz="0" w:space="0" w:color="auto"/>
        <w:left w:val="none" w:sz="0" w:space="0" w:color="auto"/>
        <w:bottom w:val="none" w:sz="0" w:space="0" w:color="auto"/>
        <w:right w:val="none" w:sz="0" w:space="0" w:color="auto"/>
      </w:divBdr>
    </w:div>
    <w:div w:id="1281838296">
      <w:bodyDiv w:val="1"/>
      <w:marLeft w:val="0"/>
      <w:marRight w:val="0"/>
      <w:marTop w:val="0"/>
      <w:marBottom w:val="0"/>
      <w:divBdr>
        <w:top w:val="none" w:sz="0" w:space="0" w:color="auto"/>
        <w:left w:val="none" w:sz="0" w:space="0" w:color="auto"/>
        <w:bottom w:val="none" w:sz="0" w:space="0" w:color="auto"/>
        <w:right w:val="none" w:sz="0" w:space="0" w:color="auto"/>
      </w:divBdr>
    </w:div>
    <w:div w:id="1284001818">
      <w:bodyDiv w:val="1"/>
      <w:marLeft w:val="0"/>
      <w:marRight w:val="0"/>
      <w:marTop w:val="0"/>
      <w:marBottom w:val="0"/>
      <w:divBdr>
        <w:top w:val="none" w:sz="0" w:space="0" w:color="auto"/>
        <w:left w:val="none" w:sz="0" w:space="0" w:color="auto"/>
        <w:bottom w:val="none" w:sz="0" w:space="0" w:color="auto"/>
        <w:right w:val="none" w:sz="0" w:space="0" w:color="auto"/>
      </w:divBdr>
    </w:div>
    <w:div w:id="1286079416">
      <w:bodyDiv w:val="1"/>
      <w:marLeft w:val="0"/>
      <w:marRight w:val="0"/>
      <w:marTop w:val="0"/>
      <w:marBottom w:val="0"/>
      <w:divBdr>
        <w:top w:val="none" w:sz="0" w:space="0" w:color="auto"/>
        <w:left w:val="none" w:sz="0" w:space="0" w:color="auto"/>
        <w:bottom w:val="none" w:sz="0" w:space="0" w:color="auto"/>
        <w:right w:val="none" w:sz="0" w:space="0" w:color="auto"/>
      </w:divBdr>
    </w:div>
    <w:div w:id="1339232904">
      <w:bodyDiv w:val="1"/>
      <w:marLeft w:val="0"/>
      <w:marRight w:val="0"/>
      <w:marTop w:val="0"/>
      <w:marBottom w:val="0"/>
      <w:divBdr>
        <w:top w:val="none" w:sz="0" w:space="0" w:color="auto"/>
        <w:left w:val="none" w:sz="0" w:space="0" w:color="auto"/>
        <w:bottom w:val="none" w:sz="0" w:space="0" w:color="auto"/>
        <w:right w:val="none" w:sz="0" w:space="0" w:color="auto"/>
      </w:divBdr>
    </w:div>
    <w:div w:id="1344285431">
      <w:bodyDiv w:val="1"/>
      <w:marLeft w:val="0"/>
      <w:marRight w:val="0"/>
      <w:marTop w:val="0"/>
      <w:marBottom w:val="0"/>
      <w:divBdr>
        <w:top w:val="none" w:sz="0" w:space="0" w:color="auto"/>
        <w:left w:val="none" w:sz="0" w:space="0" w:color="auto"/>
        <w:bottom w:val="none" w:sz="0" w:space="0" w:color="auto"/>
        <w:right w:val="none" w:sz="0" w:space="0" w:color="auto"/>
      </w:divBdr>
    </w:div>
    <w:div w:id="1365135923">
      <w:bodyDiv w:val="1"/>
      <w:marLeft w:val="0"/>
      <w:marRight w:val="0"/>
      <w:marTop w:val="0"/>
      <w:marBottom w:val="0"/>
      <w:divBdr>
        <w:top w:val="none" w:sz="0" w:space="0" w:color="auto"/>
        <w:left w:val="none" w:sz="0" w:space="0" w:color="auto"/>
        <w:bottom w:val="none" w:sz="0" w:space="0" w:color="auto"/>
        <w:right w:val="none" w:sz="0" w:space="0" w:color="auto"/>
      </w:divBdr>
    </w:div>
    <w:div w:id="1384326560">
      <w:bodyDiv w:val="1"/>
      <w:marLeft w:val="0"/>
      <w:marRight w:val="0"/>
      <w:marTop w:val="0"/>
      <w:marBottom w:val="0"/>
      <w:divBdr>
        <w:top w:val="none" w:sz="0" w:space="0" w:color="auto"/>
        <w:left w:val="none" w:sz="0" w:space="0" w:color="auto"/>
        <w:bottom w:val="none" w:sz="0" w:space="0" w:color="auto"/>
        <w:right w:val="none" w:sz="0" w:space="0" w:color="auto"/>
      </w:divBdr>
    </w:div>
    <w:div w:id="1411852201">
      <w:bodyDiv w:val="1"/>
      <w:marLeft w:val="0"/>
      <w:marRight w:val="0"/>
      <w:marTop w:val="0"/>
      <w:marBottom w:val="0"/>
      <w:divBdr>
        <w:top w:val="none" w:sz="0" w:space="0" w:color="auto"/>
        <w:left w:val="none" w:sz="0" w:space="0" w:color="auto"/>
        <w:bottom w:val="none" w:sz="0" w:space="0" w:color="auto"/>
        <w:right w:val="none" w:sz="0" w:space="0" w:color="auto"/>
      </w:divBdr>
    </w:div>
    <w:div w:id="1459300864">
      <w:bodyDiv w:val="1"/>
      <w:marLeft w:val="0"/>
      <w:marRight w:val="0"/>
      <w:marTop w:val="0"/>
      <w:marBottom w:val="0"/>
      <w:divBdr>
        <w:top w:val="none" w:sz="0" w:space="0" w:color="auto"/>
        <w:left w:val="none" w:sz="0" w:space="0" w:color="auto"/>
        <w:bottom w:val="none" w:sz="0" w:space="0" w:color="auto"/>
        <w:right w:val="none" w:sz="0" w:space="0" w:color="auto"/>
      </w:divBdr>
    </w:div>
    <w:div w:id="1475444099">
      <w:bodyDiv w:val="1"/>
      <w:marLeft w:val="0"/>
      <w:marRight w:val="0"/>
      <w:marTop w:val="0"/>
      <w:marBottom w:val="0"/>
      <w:divBdr>
        <w:top w:val="none" w:sz="0" w:space="0" w:color="auto"/>
        <w:left w:val="none" w:sz="0" w:space="0" w:color="auto"/>
        <w:bottom w:val="none" w:sz="0" w:space="0" w:color="auto"/>
        <w:right w:val="none" w:sz="0" w:space="0" w:color="auto"/>
      </w:divBdr>
    </w:div>
    <w:div w:id="1553954549">
      <w:bodyDiv w:val="1"/>
      <w:marLeft w:val="0"/>
      <w:marRight w:val="0"/>
      <w:marTop w:val="0"/>
      <w:marBottom w:val="0"/>
      <w:divBdr>
        <w:top w:val="none" w:sz="0" w:space="0" w:color="auto"/>
        <w:left w:val="none" w:sz="0" w:space="0" w:color="auto"/>
        <w:bottom w:val="none" w:sz="0" w:space="0" w:color="auto"/>
        <w:right w:val="none" w:sz="0" w:space="0" w:color="auto"/>
      </w:divBdr>
      <w:divsChild>
        <w:div w:id="1819027634">
          <w:marLeft w:val="1440"/>
          <w:marRight w:val="0"/>
          <w:marTop w:val="240"/>
          <w:marBottom w:val="0"/>
          <w:divBdr>
            <w:top w:val="none" w:sz="0" w:space="0" w:color="auto"/>
            <w:left w:val="none" w:sz="0" w:space="0" w:color="auto"/>
            <w:bottom w:val="none" w:sz="0" w:space="0" w:color="auto"/>
            <w:right w:val="none" w:sz="0" w:space="0" w:color="auto"/>
          </w:divBdr>
        </w:div>
        <w:div w:id="1046953841">
          <w:marLeft w:val="1440"/>
          <w:marRight w:val="0"/>
          <w:marTop w:val="240"/>
          <w:marBottom w:val="0"/>
          <w:divBdr>
            <w:top w:val="none" w:sz="0" w:space="0" w:color="auto"/>
            <w:left w:val="none" w:sz="0" w:space="0" w:color="auto"/>
            <w:bottom w:val="none" w:sz="0" w:space="0" w:color="auto"/>
            <w:right w:val="none" w:sz="0" w:space="0" w:color="auto"/>
          </w:divBdr>
        </w:div>
        <w:div w:id="2007708104">
          <w:marLeft w:val="1440"/>
          <w:marRight w:val="0"/>
          <w:marTop w:val="240"/>
          <w:marBottom w:val="0"/>
          <w:divBdr>
            <w:top w:val="none" w:sz="0" w:space="0" w:color="auto"/>
            <w:left w:val="none" w:sz="0" w:space="0" w:color="auto"/>
            <w:bottom w:val="none" w:sz="0" w:space="0" w:color="auto"/>
            <w:right w:val="none" w:sz="0" w:space="0" w:color="auto"/>
          </w:divBdr>
        </w:div>
      </w:divsChild>
    </w:div>
    <w:div w:id="1563523250">
      <w:bodyDiv w:val="1"/>
      <w:marLeft w:val="0"/>
      <w:marRight w:val="0"/>
      <w:marTop w:val="0"/>
      <w:marBottom w:val="0"/>
      <w:divBdr>
        <w:top w:val="none" w:sz="0" w:space="0" w:color="auto"/>
        <w:left w:val="none" w:sz="0" w:space="0" w:color="auto"/>
        <w:bottom w:val="none" w:sz="0" w:space="0" w:color="auto"/>
        <w:right w:val="none" w:sz="0" w:space="0" w:color="auto"/>
      </w:divBdr>
    </w:div>
    <w:div w:id="1591239043">
      <w:bodyDiv w:val="1"/>
      <w:marLeft w:val="0"/>
      <w:marRight w:val="0"/>
      <w:marTop w:val="0"/>
      <w:marBottom w:val="0"/>
      <w:divBdr>
        <w:top w:val="none" w:sz="0" w:space="0" w:color="auto"/>
        <w:left w:val="none" w:sz="0" w:space="0" w:color="auto"/>
        <w:bottom w:val="none" w:sz="0" w:space="0" w:color="auto"/>
        <w:right w:val="none" w:sz="0" w:space="0" w:color="auto"/>
      </w:divBdr>
    </w:div>
    <w:div w:id="1607809567">
      <w:bodyDiv w:val="1"/>
      <w:marLeft w:val="0"/>
      <w:marRight w:val="0"/>
      <w:marTop w:val="0"/>
      <w:marBottom w:val="0"/>
      <w:divBdr>
        <w:top w:val="none" w:sz="0" w:space="0" w:color="auto"/>
        <w:left w:val="none" w:sz="0" w:space="0" w:color="auto"/>
        <w:bottom w:val="none" w:sz="0" w:space="0" w:color="auto"/>
        <w:right w:val="none" w:sz="0" w:space="0" w:color="auto"/>
      </w:divBdr>
    </w:div>
    <w:div w:id="1624923512">
      <w:bodyDiv w:val="1"/>
      <w:marLeft w:val="0"/>
      <w:marRight w:val="0"/>
      <w:marTop w:val="0"/>
      <w:marBottom w:val="0"/>
      <w:divBdr>
        <w:top w:val="none" w:sz="0" w:space="0" w:color="auto"/>
        <w:left w:val="none" w:sz="0" w:space="0" w:color="auto"/>
        <w:bottom w:val="none" w:sz="0" w:space="0" w:color="auto"/>
        <w:right w:val="none" w:sz="0" w:space="0" w:color="auto"/>
      </w:divBdr>
    </w:div>
    <w:div w:id="1638800011">
      <w:bodyDiv w:val="1"/>
      <w:marLeft w:val="0"/>
      <w:marRight w:val="0"/>
      <w:marTop w:val="0"/>
      <w:marBottom w:val="0"/>
      <w:divBdr>
        <w:top w:val="none" w:sz="0" w:space="0" w:color="auto"/>
        <w:left w:val="none" w:sz="0" w:space="0" w:color="auto"/>
        <w:bottom w:val="none" w:sz="0" w:space="0" w:color="auto"/>
        <w:right w:val="none" w:sz="0" w:space="0" w:color="auto"/>
      </w:divBdr>
    </w:div>
    <w:div w:id="1661418648">
      <w:bodyDiv w:val="1"/>
      <w:marLeft w:val="0"/>
      <w:marRight w:val="0"/>
      <w:marTop w:val="0"/>
      <w:marBottom w:val="0"/>
      <w:divBdr>
        <w:top w:val="none" w:sz="0" w:space="0" w:color="auto"/>
        <w:left w:val="none" w:sz="0" w:space="0" w:color="auto"/>
        <w:bottom w:val="none" w:sz="0" w:space="0" w:color="auto"/>
        <w:right w:val="none" w:sz="0" w:space="0" w:color="auto"/>
      </w:divBdr>
    </w:div>
    <w:div w:id="1673222905">
      <w:bodyDiv w:val="1"/>
      <w:marLeft w:val="0"/>
      <w:marRight w:val="0"/>
      <w:marTop w:val="0"/>
      <w:marBottom w:val="0"/>
      <w:divBdr>
        <w:top w:val="none" w:sz="0" w:space="0" w:color="auto"/>
        <w:left w:val="none" w:sz="0" w:space="0" w:color="auto"/>
        <w:bottom w:val="none" w:sz="0" w:space="0" w:color="auto"/>
        <w:right w:val="none" w:sz="0" w:space="0" w:color="auto"/>
      </w:divBdr>
    </w:div>
    <w:div w:id="1689719144">
      <w:bodyDiv w:val="1"/>
      <w:marLeft w:val="0"/>
      <w:marRight w:val="0"/>
      <w:marTop w:val="0"/>
      <w:marBottom w:val="0"/>
      <w:divBdr>
        <w:top w:val="none" w:sz="0" w:space="0" w:color="auto"/>
        <w:left w:val="none" w:sz="0" w:space="0" w:color="auto"/>
        <w:bottom w:val="none" w:sz="0" w:space="0" w:color="auto"/>
        <w:right w:val="none" w:sz="0" w:space="0" w:color="auto"/>
      </w:divBdr>
    </w:div>
    <w:div w:id="1689983569">
      <w:bodyDiv w:val="1"/>
      <w:marLeft w:val="0"/>
      <w:marRight w:val="0"/>
      <w:marTop w:val="0"/>
      <w:marBottom w:val="0"/>
      <w:divBdr>
        <w:top w:val="none" w:sz="0" w:space="0" w:color="auto"/>
        <w:left w:val="none" w:sz="0" w:space="0" w:color="auto"/>
        <w:bottom w:val="none" w:sz="0" w:space="0" w:color="auto"/>
        <w:right w:val="none" w:sz="0" w:space="0" w:color="auto"/>
      </w:divBdr>
    </w:div>
    <w:div w:id="1751150798">
      <w:bodyDiv w:val="1"/>
      <w:marLeft w:val="0"/>
      <w:marRight w:val="0"/>
      <w:marTop w:val="0"/>
      <w:marBottom w:val="0"/>
      <w:divBdr>
        <w:top w:val="none" w:sz="0" w:space="0" w:color="auto"/>
        <w:left w:val="none" w:sz="0" w:space="0" w:color="auto"/>
        <w:bottom w:val="none" w:sz="0" w:space="0" w:color="auto"/>
        <w:right w:val="none" w:sz="0" w:space="0" w:color="auto"/>
      </w:divBdr>
    </w:div>
    <w:div w:id="1758944009">
      <w:bodyDiv w:val="1"/>
      <w:marLeft w:val="0"/>
      <w:marRight w:val="0"/>
      <w:marTop w:val="0"/>
      <w:marBottom w:val="0"/>
      <w:divBdr>
        <w:top w:val="none" w:sz="0" w:space="0" w:color="auto"/>
        <w:left w:val="none" w:sz="0" w:space="0" w:color="auto"/>
        <w:bottom w:val="none" w:sz="0" w:space="0" w:color="auto"/>
        <w:right w:val="none" w:sz="0" w:space="0" w:color="auto"/>
      </w:divBdr>
    </w:div>
    <w:div w:id="1763334038">
      <w:bodyDiv w:val="1"/>
      <w:marLeft w:val="0"/>
      <w:marRight w:val="0"/>
      <w:marTop w:val="0"/>
      <w:marBottom w:val="0"/>
      <w:divBdr>
        <w:top w:val="none" w:sz="0" w:space="0" w:color="auto"/>
        <w:left w:val="none" w:sz="0" w:space="0" w:color="auto"/>
        <w:bottom w:val="none" w:sz="0" w:space="0" w:color="auto"/>
        <w:right w:val="none" w:sz="0" w:space="0" w:color="auto"/>
      </w:divBdr>
    </w:div>
    <w:div w:id="1784836256">
      <w:bodyDiv w:val="1"/>
      <w:marLeft w:val="0"/>
      <w:marRight w:val="0"/>
      <w:marTop w:val="0"/>
      <w:marBottom w:val="0"/>
      <w:divBdr>
        <w:top w:val="none" w:sz="0" w:space="0" w:color="auto"/>
        <w:left w:val="none" w:sz="0" w:space="0" w:color="auto"/>
        <w:bottom w:val="none" w:sz="0" w:space="0" w:color="auto"/>
        <w:right w:val="none" w:sz="0" w:space="0" w:color="auto"/>
      </w:divBdr>
    </w:div>
    <w:div w:id="1837459707">
      <w:bodyDiv w:val="1"/>
      <w:marLeft w:val="0"/>
      <w:marRight w:val="0"/>
      <w:marTop w:val="0"/>
      <w:marBottom w:val="0"/>
      <w:divBdr>
        <w:top w:val="none" w:sz="0" w:space="0" w:color="auto"/>
        <w:left w:val="none" w:sz="0" w:space="0" w:color="auto"/>
        <w:bottom w:val="none" w:sz="0" w:space="0" w:color="auto"/>
        <w:right w:val="none" w:sz="0" w:space="0" w:color="auto"/>
      </w:divBdr>
    </w:div>
    <w:div w:id="1838838730">
      <w:bodyDiv w:val="1"/>
      <w:marLeft w:val="0"/>
      <w:marRight w:val="0"/>
      <w:marTop w:val="0"/>
      <w:marBottom w:val="0"/>
      <w:divBdr>
        <w:top w:val="none" w:sz="0" w:space="0" w:color="auto"/>
        <w:left w:val="none" w:sz="0" w:space="0" w:color="auto"/>
        <w:bottom w:val="none" w:sz="0" w:space="0" w:color="auto"/>
        <w:right w:val="none" w:sz="0" w:space="0" w:color="auto"/>
      </w:divBdr>
    </w:div>
    <w:div w:id="1848668535">
      <w:bodyDiv w:val="1"/>
      <w:marLeft w:val="0"/>
      <w:marRight w:val="0"/>
      <w:marTop w:val="0"/>
      <w:marBottom w:val="0"/>
      <w:divBdr>
        <w:top w:val="none" w:sz="0" w:space="0" w:color="auto"/>
        <w:left w:val="none" w:sz="0" w:space="0" w:color="auto"/>
        <w:bottom w:val="none" w:sz="0" w:space="0" w:color="auto"/>
        <w:right w:val="none" w:sz="0" w:space="0" w:color="auto"/>
      </w:divBdr>
    </w:div>
    <w:div w:id="1850753536">
      <w:bodyDiv w:val="1"/>
      <w:marLeft w:val="0"/>
      <w:marRight w:val="0"/>
      <w:marTop w:val="0"/>
      <w:marBottom w:val="0"/>
      <w:divBdr>
        <w:top w:val="none" w:sz="0" w:space="0" w:color="auto"/>
        <w:left w:val="none" w:sz="0" w:space="0" w:color="auto"/>
        <w:bottom w:val="none" w:sz="0" w:space="0" w:color="auto"/>
        <w:right w:val="none" w:sz="0" w:space="0" w:color="auto"/>
      </w:divBdr>
    </w:div>
    <w:div w:id="1890990876">
      <w:bodyDiv w:val="1"/>
      <w:marLeft w:val="0"/>
      <w:marRight w:val="0"/>
      <w:marTop w:val="0"/>
      <w:marBottom w:val="0"/>
      <w:divBdr>
        <w:top w:val="none" w:sz="0" w:space="0" w:color="auto"/>
        <w:left w:val="none" w:sz="0" w:space="0" w:color="auto"/>
        <w:bottom w:val="none" w:sz="0" w:space="0" w:color="auto"/>
        <w:right w:val="none" w:sz="0" w:space="0" w:color="auto"/>
      </w:divBdr>
    </w:div>
    <w:div w:id="1909532381">
      <w:bodyDiv w:val="1"/>
      <w:marLeft w:val="0"/>
      <w:marRight w:val="0"/>
      <w:marTop w:val="0"/>
      <w:marBottom w:val="0"/>
      <w:divBdr>
        <w:top w:val="none" w:sz="0" w:space="0" w:color="auto"/>
        <w:left w:val="none" w:sz="0" w:space="0" w:color="auto"/>
        <w:bottom w:val="none" w:sz="0" w:space="0" w:color="auto"/>
        <w:right w:val="none" w:sz="0" w:space="0" w:color="auto"/>
      </w:divBdr>
    </w:div>
    <w:div w:id="1922792263">
      <w:bodyDiv w:val="1"/>
      <w:marLeft w:val="0"/>
      <w:marRight w:val="0"/>
      <w:marTop w:val="0"/>
      <w:marBottom w:val="0"/>
      <w:divBdr>
        <w:top w:val="none" w:sz="0" w:space="0" w:color="auto"/>
        <w:left w:val="none" w:sz="0" w:space="0" w:color="auto"/>
        <w:bottom w:val="none" w:sz="0" w:space="0" w:color="auto"/>
        <w:right w:val="none" w:sz="0" w:space="0" w:color="auto"/>
      </w:divBdr>
    </w:div>
    <w:div w:id="1925409429">
      <w:bodyDiv w:val="1"/>
      <w:marLeft w:val="0"/>
      <w:marRight w:val="0"/>
      <w:marTop w:val="0"/>
      <w:marBottom w:val="0"/>
      <w:divBdr>
        <w:top w:val="none" w:sz="0" w:space="0" w:color="auto"/>
        <w:left w:val="none" w:sz="0" w:space="0" w:color="auto"/>
        <w:bottom w:val="none" w:sz="0" w:space="0" w:color="auto"/>
        <w:right w:val="none" w:sz="0" w:space="0" w:color="auto"/>
      </w:divBdr>
    </w:div>
    <w:div w:id="1958490984">
      <w:bodyDiv w:val="1"/>
      <w:marLeft w:val="0"/>
      <w:marRight w:val="0"/>
      <w:marTop w:val="0"/>
      <w:marBottom w:val="0"/>
      <w:divBdr>
        <w:top w:val="none" w:sz="0" w:space="0" w:color="auto"/>
        <w:left w:val="none" w:sz="0" w:space="0" w:color="auto"/>
        <w:bottom w:val="none" w:sz="0" w:space="0" w:color="auto"/>
        <w:right w:val="none" w:sz="0" w:space="0" w:color="auto"/>
      </w:divBdr>
    </w:div>
    <w:div w:id="1982533443">
      <w:bodyDiv w:val="1"/>
      <w:marLeft w:val="0"/>
      <w:marRight w:val="0"/>
      <w:marTop w:val="0"/>
      <w:marBottom w:val="0"/>
      <w:divBdr>
        <w:top w:val="none" w:sz="0" w:space="0" w:color="auto"/>
        <w:left w:val="none" w:sz="0" w:space="0" w:color="auto"/>
        <w:bottom w:val="none" w:sz="0" w:space="0" w:color="auto"/>
        <w:right w:val="none" w:sz="0" w:space="0" w:color="auto"/>
      </w:divBdr>
    </w:div>
    <w:div w:id="1989675371">
      <w:bodyDiv w:val="1"/>
      <w:marLeft w:val="0"/>
      <w:marRight w:val="0"/>
      <w:marTop w:val="0"/>
      <w:marBottom w:val="0"/>
      <w:divBdr>
        <w:top w:val="none" w:sz="0" w:space="0" w:color="auto"/>
        <w:left w:val="none" w:sz="0" w:space="0" w:color="auto"/>
        <w:bottom w:val="none" w:sz="0" w:space="0" w:color="auto"/>
        <w:right w:val="none" w:sz="0" w:space="0" w:color="auto"/>
      </w:divBdr>
    </w:div>
    <w:div w:id="2046906704">
      <w:bodyDiv w:val="1"/>
      <w:marLeft w:val="0"/>
      <w:marRight w:val="0"/>
      <w:marTop w:val="0"/>
      <w:marBottom w:val="0"/>
      <w:divBdr>
        <w:top w:val="none" w:sz="0" w:space="0" w:color="auto"/>
        <w:left w:val="none" w:sz="0" w:space="0" w:color="auto"/>
        <w:bottom w:val="none" w:sz="0" w:space="0" w:color="auto"/>
        <w:right w:val="none" w:sz="0" w:space="0" w:color="auto"/>
      </w:divBdr>
    </w:div>
    <w:div w:id="214167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inegi.org.mx/app/geo2/ntm/" TargetMode="External"/><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20" Type="http://schemas.openxmlformats.org/officeDocument/2006/relationships/image" Target="media/image12.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snieg.mx/DocumentacionPortal/inegiucc/documentacion/" TargetMode="External"/><Relationship Id="rId2" Type="http://schemas.openxmlformats.org/officeDocument/2006/relationships/hyperlink" Target="http://extrantranet.inegi.org.mx/calidad/normatividad-y-otros-documentos" TargetMode="External"/><Relationship Id="rId1" Type="http://schemas.openxmlformats.org/officeDocument/2006/relationships/hyperlink" Target="http://intranet.inegi.org.mx/calidad/sesiones-del-comite/" TargetMode="External"/><Relationship Id="rId4" Type="http://schemas.openxmlformats.org/officeDocument/2006/relationships/hyperlink" Target="http://intranet.inegi.org.mx/calida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EC854-E618-4AA2-9ED2-7AD47BF62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72</Pages>
  <Words>18720</Words>
  <Characters>106709</Characters>
  <Application>Microsoft Office Word</Application>
  <DocSecurity>0</DocSecurity>
  <Lines>889</Lines>
  <Paragraphs>250</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Marco Conceptual</vt:lpstr>
      <vt:lpstr>Principios y Directrices de Calidad </vt:lpstr>
      <vt:lpstr>Norma para el Aseguramiento de la Calidad </vt:lpstr>
      <vt:lpstr>Actividad estratégica 1: 	Establecer controles de calidad en procesos estandariz</vt:lpstr>
      <vt:lpstr>Actividad estratégica 2. 	Evaluar de forma sistemática la calidad de la informac</vt:lpstr>
      <vt:lpstr>Actividad estratégica 3. 	Desarrollar protocolos para medir y documentar el impa</vt:lpstr>
      <vt:lpstr>ANEXOS</vt:lpstr>
      <vt:lpstr>Anexo 1: Indicadores de Pertinencia</vt:lpstr>
      <vt:lpstr>Anexo 2: Indicadores de Oportunidad</vt:lpstr>
      <vt:lpstr/>
      <vt:lpstr>Anexo 3: Indicadores de Puntualidad</vt:lpstr>
      <vt:lpstr>Anexo 4: Indicador de Accesibilidad</vt:lpstr>
      <vt:lpstr>Anexo 5: Indicadores de Precisión y confiabilidad para programas de información </vt:lpstr>
      <vt:lpstr>Anexo 6: Indicadores de precisión y confiabilidad en encuestas</vt:lpstr>
    </vt:vector>
  </TitlesOfParts>
  <Company/>
  <LinksUpToDate>false</LinksUpToDate>
  <CharactersWithSpaces>125179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TORROJA MATEU NURIA</dc:creator>
  <cp:keywords/>
  <dc:description/>
  <cp:lastModifiedBy>Nuria Torroja Mateu</cp:lastModifiedBy>
  <cp:revision>4</cp:revision>
  <cp:lastPrinted>2020-03-05T19:02:00Z</cp:lastPrinted>
  <dcterms:created xsi:type="dcterms:W3CDTF">2021-03-04T23:04:00Z</dcterms:created>
  <dcterms:modified xsi:type="dcterms:W3CDTF">2021-03-04T23:30:00Z</dcterms:modified>
</cp:coreProperties>
</file>